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1B963">
      <w:pPr>
        <w:pStyle w:val="2"/>
      </w:pPr>
      <w:bookmarkStart w:id="4" w:name="_GoBack"/>
      <w:bookmarkEnd w:id="4"/>
      <w:r>
        <w:t xml:space="preserve">     </w:t>
      </w:r>
    </w:p>
    <w:p w14:paraId="3B4778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A21607">
      <w:pPr>
        <w:ind w:left="180" w:right="-38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14:paraId="2D9BF591">
      <w:pPr>
        <w:spacing w:after="0"/>
        <w:ind w:left="181" w:right="-38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Брянская область</w:t>
      </w:r>
    </w:p>
    <w:p w14:paraId="07917534">
      <w:pPr>
        <w:spacing w:after="0"/>
        <w:ind w:left="181" w:right="-38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Контрольно-счетная палата Мглинского района</w:t>
      </w:r>
    </w:p>
    <w:p w14:paraId="4D5B23F5">
      <w:pPr>
        <w:spacing w:after="0"/>
        <w:ind w:left="181" w:right="-386"/>
        <w:jc w:val="center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b/>
          <w:sz w:val="18"/>
          <w:szCs w:val="18"/>
          <w:u w:val="single"/>
        </w:rPr>
        <w:t xml:space="preserve">243220 г. Мглин, пл. Советская д.6. тел.(48339)2-11-51 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E</w:t>
      </w:r>
      <w:r>
        <w:rPr>
          <w:rFonts w:ascii="Times New Roman" w:hAnsi="Times New Roman"/>
          <w:b/>
          <w:sz w:val="18"/>
          <w:szCs w:val="18"/>
          <w:u w:val="single"/>
        </w:rPr>
        <w:t>-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mail</w:t>
      </w:r>
      <w:r>
        <w:rPr>
          <w:rFonts w:ascii="Times New Roman" w:hAnsi="Times New Roman"/>
          <w:b/>
          <w:sz w:val="18"/>
          <w:szCs w:val="18"/>
          <w:u w:val="single"/>
        </w:rPr>
        <w:t>: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palata</w:t>
      </w:r>
      <w:r>
        <w:rPr>
          <w:rFonts w:ascii="Times New Roman" w:hAnsi="Times New Roman"/>
          <w:b/>
          <w:sz w:val="18"/>
          <w:szCs w:val="18"/>
          <w:u w:val="single"/>
        </w:rPr>
        <w:t>-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mglin</w:t>
      </w:r>
      <w:r>
        <w:rPr>
          <w:rFonts w:ascii="Times New Roman" w:hAnsi="Times New Roman"/>
          <w:b/>
          <w:sz w:val="18"/>
          <w:szCs w:val="18"/>
          <w:u w:val="single"/>
        </w:rPr>
        <w:t>@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mail</w:t>
      </w:r>
      <w:r>
        <w:rPr>
          <w:rFonts w:ascii="Times New Roman" w:hAnsi="Times New Roman"/>
          <w:b/>
          <w:sz w:val="18"/>
          <w:szCs w:val="18"/>
          <w:u w:val="single"/>
        </w:rPr>
        <w:t>.</w:t>
      </w:r>
      <w:r>
        <w:rPr>
          <w:rFonts w:ascii="Times New Roman" w:hAnsi="Times New Roman"/>
          <w:b/>
          <w:sz w:val="18"/>
          <w:szCs w:val="18"/>
          <w:u w:val="single"/>
          <w:lang w:val="en-US"/>
        </w:rPr>
        <w:t>ru</w:t>
      </w:r>
    </w:p>
    <w:p w14:paraId="6E635560">
      <w:pPr>
        <w:shd w:val="clear" w:color="auto" w:fill="FFFFFF"/>
        <w:spacing w:line="322" w:lineRule="exact"/>
        <w:ind w:left="5812" w:hanging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7E3E8FF5">
      <w:pPr>
        <w:shd w:val="clear" w:color="auto" w:fill="FFFFFF"/>
        <w:spacing w:line="322" w:lineRule="exact"/>
        <w:ind w:left="4962" w:hanging="4952"/>
        <w:jc w:val="both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>Заключение</w:t>
      </w:r>
    </w:p>
    <w:p w14:paraId="458F41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отчет об исполнении бюджета  Мглинского муниципального района </w:t>
      </w:r>
    </w:p>
    <w:p w14:paraId="53580A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квартал  2026 года</w:t>
      </w:r>
    </w:p>
    <w:p w14:paraId="4B46A3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F57B8A">
      <w:pPr>
        <w:shd w:val="clear" w:color="auto" w:fill="FFFFFF"/>
        <w:spacing w:line="322" w:lineRule="exact"/>
        <w:ind w:left="5812" w:hanging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31.05.2026г</w:t>
      </w:r>
      <w:r>
        <w:rPr>
          <w:rFonts w:ascii="Times New Roman" w:hAnsi="Times New Roman"/>
          <w:sz w:val="28"/>
          <w:szCs w:val="28"/>
        </w:rPr>
        <w:t xml:space="preserve">.                                                                     г. Мглин      </w:t>
      </w:r>
    </w:p>
    <w:p w14:paraId="220F499B">
      <w:pPr>
        <w:shd w:val="clear" w:color="auto" w:fill="FFFFFF"/>
        <w:spacing w:line="322" w:lineRule="exact"/>
        <w:ind w:left="5812" w:hanging="581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14:paraId="1B91DB35">
      <w:pPr>
        <w:tabs>
          <w:tab w:val="left" w:pos="720"/>
          <w:tab w:val="left" w:pos="9355"/>
        </w:tabs>
        <w:spacing w:after="0" w:line="240" w:lineRule="auto"/>
        <w:ind w:right="-5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Заключение Контрольно-счетной палаты Мглинского района об  исполнении бюджета Мглинского муниципального района  за 1 квартал  2026 года (далее - Заключение) подготовлено в соответствии со статьей 264.2 Бюджетного кодекса Российской Федерации,  Положением «О Контрольно-счетной палате Мглинского района», утвержденным Решением районного Совета народных депутатов от 29.09.2021г. № 6-166, Стандартом внешнего  муниципального финансового контроля 102 «Проведение оперативного контроля за ходом  исполнения решения о бюджете муниципального района», утвержденным решением Коллегии Контрольно-счетной палаты Мглинского района  от 27.12.2016 года № 4,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пунктом 1.2.2. плана работы Контрольно-счетной палаты Мглинского района на 2026 год, утвержденного приказом   Контрольно-счетной палаты Мглинского района от 30 декабря 2025 года   № 12.</w:t>
      </w:r>
    </w:p>
    <w:p w14:paraId="642570BD">
      <w:pPr>
        <w:spacing w:after="0" w:line="240" w:lineRule="auto"/>
        <w:ind w:firstLine="720"/>
        <w:jc w:val="both"/>
        <w:rPr>
          <w:rFonts w:ascii="Times New Roman" w:hAnsi="Times New Roman" w:eastAsia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>Заключение Контрольно-счетной палаты оформлено по результатам оперативного анализа и контроля над организацией  исполнения бюджета Мглинского муниципального района за 1 квартал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2026</w:t>
      </w: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 года.</w:t>
      </w:r>
    </w:p>
    <w:p w14:paraId="2E632F4A">
      <w:pPr>
        <w:spacing w:after="0" w:line="240" w:lineRule="auto"/>
        <w:ind w:firstLine="720"/>
        <w:jc w:val="center"/>
        <w:rPr>
          <w:rFonts w:ascii="Times New Roman" w:hAnsi="Times New Roman" w:eastAsia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/>
          <w:b/>
          <w:sz w:val="28"/>
          <w:szCs w:val="24"/>
          <w:lang w:eastAsia="ru-RU"/>
        </w:rPr>
        <w:t>Анализ исполнения доходов бюджета Мглинского муниципального района</w:t>
      </w:r>
    </w:p>
    <w:p w14:paraId="7F89083A">
      <w:pPr>
        <w:spacing w:after="0" w:line="240" w:lineRule="auto"/>
        <w:ind w:firstLine="720"/>
        <w:jc w:val="both"/>
        <w:rPr>
          <w:rFonts w:ascii="Times New Roman" w:hAnsi="Times New Roman" w:eastAsia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По итогам </w:t>
      </w:r>
      <w:r>
        <w:rPr>
          <w:rFonts w:ascii="Times New Roman" w:hAnsi="Times New Roman" w:eastAsia="Times New Roman"/>
          <w:sz w:val="28"/>
          <w:szCs w:val="24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 квартала 2026 года бюджет Мглинского муниципального района исполнен по доходам в сумме 103112,1 тыс. руб., или 18,7 % к утвержденному годовому плану, по расходам – в сумме  108348,2 тыс. руб., или 19,2 % к утвержденным расходам, с дефицитом в сумме 5236,0 тыс. руб.</w:t>
      </w:r>
    </w:p>
    <w:p w14:paraId="43492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доходной части бюджета выше уровня соответствующего периода 2025 года на 7404,5 тыс. руб., расходы бюджета в первом квартале  превысили уровень расходов 1 квартала 2025 года на 14420,8 тыс. руб. </w:t>
      </w:r>
    </w:p>
    <w:p w14:paraId="6A2BC4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структуре доходов бюджета муниципального района  удельный вес налоговых и неналоговых доходов составил 27,9 %, что ниже показателя  соответствующего периода прошлого года на 2,1 %. На долю безвозмездных поступлений приходится 72,1%.</w:t>
      </w:r>
    </w:p>
    <w:p w14:paraId="4B282C4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Собственные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доходы бюджета муниципального района в сравнении с отчетным периодом 2025 года увеличились  на 0,5 %, объём безвозмездных поступлений увеличился  на 11,3 %. </w:t>
      </w:r>
    </w:p>
    <w:p w14:paraId="3D8674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Поступление налоговых и неналоговых доходов сложилось в сумме              28768,6 тыс. рублей, (1 кв. 2025г. - 28926,5 тыс. рублей), или 16,8  % к утвержденному годовому плану. </w:t>
      </w:r>
    </w:p>
    <w:p w14:paraId="28AFA2F5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На долю </w:t>
      </w:r>
      <w:r>
        <w:rPr>
          <w:rFonts w:ascii="Times New Roman" w:hAnsi="Times New Roman" w:eastAsia="Times New Roman"/>
          <w:b/>
          <w:sz w:val="28"/>
          <w:szCs w:val="24"/>
          <w:lang w:eastAsia="ru-RU"/>
        </w:rPr>
        <w:t>налоговых доходов</w:t>
      </w: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 в структуре собственных доходов бюджета приходится 95,4%. </w:t>
      </w:r>
    </w:p>
    <w:p w14:paraId="0D38C994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 Основными налогами, которыми сформированы налоговые доходы в доходной части бюджета в 1 квартале 2026 года, являются налог на доходы физических лиц, акцизы по подакцизным товарам (продукции), производимым на территории Российской Федерации, налоги на совокупный доход. На их долю приходится 99,1 % поступивших налоговых доходов.</w:t>
      </w:r>
    </w:p>
    <w:p w14:paraId="60ABD9EC">
      <w:pPr>
        <w:spacing w:after="0" w:line="240" w:lineRule="auto"/>
        <w:ind w:right="-85" w:firstLine="7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i/>
          <w:sz w:val="28"/>
          <w:szCs w:val="28"/>
          <w:lang w:eastAsia="ru-RU"/>
        </w:rPr>
        <w:t>Налог на доходы физических лиц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поступил в  бюджет муниципального района в сумме 20955,5 тыс. руб., годовые плановые назначения исполнены на 16,1 %, доля в налоговых доходах составляет 76,3 %. К соответствующему периоду 2025 увеличение поступлений составило 454,3 тыс. руб. 2,2%.</w:t>
      </w:r>
    </w:p>
    <w:p w14:paraId="5F55DFBE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/>
          <w:b/>
          <w:i/>
          <w:sz w:val="28"/>
          <w:szCs w:val="24"/>
          <w:lang w:eastAsia="ru-RU"/>
        </w:rPr>
        <w:t xml:space="preserve">Акцизы по подакцизным товарам - </w:t>
      </w:r>
      <w:r>
        <w:rPr>
          <w:rFonts w:ascii="Times New Roman" w:hAnsi="Times New Roman" w:eastAsia="Times New Roman"/>
          <w:sz w:val="28"/>
          <w:szCs w:val="24"/>
          <w:lang w:eastAsia="ru-RU"/>
        </w:rPr>
        <w:t>поступление за 1-й квартал  2026 года исполнены</w:t>
      </w:r>
      <w:r>
        <w:rPr>
          <w:rFonts w:ascii="Times New Roman" w:hAnsi="Times New Roman" w:eastAsia="Times New Roman"/>
          <w:color w:val="365F91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4"/>
          <w:lang w:eastAsia="ru-RU"/>
        </w:rPr>
        <w:t>на 21,9  % годового плана, в структуре налоговых доходов их доля составляет 17,7%.</w:t>
      </w:r>
    </w:p>
    <w:p w14:paraId="18841290">
      <w:pPr>
        <w:spacing w:after="0" w:line="240" w:lineRule="auto"/>
        <w:ind w:right="-85" w:firstLine="7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Объем поступления акцизов составил 4859,9 тыс. руб., что ниже уровня 2025 года на 119,8 тыс. руб. (4979,7 тыс. руб.)</w:t>
      </w:r>
    </w:p>
    <w:p w14:paraId="1A73C17B">
      <w:pPr>
        <w:spacing w:after="0" w:line="240" w:lineRule="auto"/>
        <w:ind w:firstLine="7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Налоги на совокупный доход поступили в бюджет в отчетном периоде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сумме  877,9 тыс. руб., что ниже уровня прошлого года  на 456,0 тыс. руб.  (1333,9 тыс. руб.). Годовые плановые назначения исполнены на 30,9 %. В структуре налоговых доходов их доля составляет 3,2%. </w:t>
      </w:r>
    </w:p>
    <w:p w14:paraId="1C40E04B">
      <w:pPr>
        <w:spacing w:after="0" w:line="240" w:lineRule="auto"/>
        <w:ind w:firstLine="720"/>
        <w:jc w:val="both"/>
        <w:rPr>
          <w:rFonts w:ascii="Times New Roman" w:hAnsi="Times New Roman" w:eastAsia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pacing w:val="-4"/>
          <w:sz w:val="28"/>
          <w:szCs w:val="24"/>
          <w:lang w:eastAsia="ru-RU"/>
        </w:rPr>
        <w:t>Неналоговые доходы</w:t>
      </w:r>
      <w:r>
        <w:rPr>
          <w:rFonts w:ascii="Times New Roman" w:hAnsi="Times New Roman" w:eastAsia="Times New Roman"/>
          <w:b/>
          <w:bCs/>
          <w:spacing w:val="-4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spacing w:val="-4"/>
          <w:sz w:val="28"/>
          <w:szCs w:val="24"/>
          <w:lang w:eastAsia="ru-RU"/>
        </w:rPr>
        <w:t>бюджета муниципального района</w:t>
      </w:r>
      <w:r>
        <w:rPr>
          <w:rFonts w:ascii="Times New Roman" w:hAnsi="Times New Roman" w:eastAsia="Times New Roman"/>
          <w:b/>
          <w:bCs/>
          <w:spacing w:val="-4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spacing w:val="-4"/>
          <w:sz w:val="28"/>
          <w:szCs w:val="24"/>
          <w:lang w:eastAsia="ru-RU"/>
        </w:rPr>
        <w:t xml:space="preserve">исполнены в сумме 1322,3  тыс. руб., в </w:t>
      </w:r>
      <w:r>
        <w:rPr>
          <w:rFonts w:ascii="Times New Roman" w:hAnsi="Times New Roman" w:eastAsia="Times New Roman"/>
          <w:sz w:val="28"/>
          <w:szCs w:val="24"/>
          <w:lang w:eastAsia="ru-RU"/>
        </w:rPr>
        <w:t>структуре собственных доходов бюджета это составляет 4,6 %. В том числе:</w:t>
      </w:r>
    </w:p>
    <w:p w14:paraId="6F79FF0F">
      <w:pPr>
        <w:spacing w:after="0" w:line="240" w:lineRule="auto"/>
        <w:ind w:right="-85" w:firstLine="720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>доходы от использования имущества, находящегося в государственной и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 муниципальной собственности 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– 43,3 % неналоговых доходов бюджета. Поступления составили 573,1 тыс. руб., из них: </w:t>
      </w:r>
    </w:p>
    <w:p w14:paraId="6522AB2E">
      <w:pPr>
        <w:spacing w:after="0" w:line="240" w:lineRule="auto"/>
        <w:ind w:right="-85" w:firstLine="720"/>
        <w:jc w:val="both"/>
        <w:rPr>
          <w:rFonts w:ascii="Times New Roman" w:hAnsi="Times New Roman" w:eastAsia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i/>
          <w:sz w:val="28"/>
          <w:szCs w:val="28"/>
          <w:lang w:eastAsia="ru-RU"/>
        </w:rPr>
        <w:t>доходы, полученные в виде арендной платы за земельные участки, государственная собственность на которые не разграничена, также средства от продажи права на заключение договоров аренды указанных земельных  участков – 482,9 тыс. руб.;</w:t>
      </w:r>
    </w:p>
    <w:p w14:paraId="479866A6">
      <w:pPr>
        <w:spacing w:after="0" w:line="240" w:lineRule="auto"/>
        <w:ind w:right="-85" w:firstLine="720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bCs/>
          <w:i/>
          <w:sz w:val="28"/>
          <w:szCs w:val="28"/>
          <w:lang w:eastAsia="ru-RU"/>
        </w:rPr>
        <w:t>доходы от сдачи в аренду имущества, находящегося в оперативном управлении органов управления муниципальных районов и созданных ими учреждений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eastAsia="Times New Roman"/>
          <w:bCs/>
          <w:i/>
          <w:sz w:val="28"/>
          <w:szCs w:val="28"/>
          <w:lang w:eastAsia="ru-RU"/>
        </w:rPr>
        <w:t>90,2 тыс. руб.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 </w:t>
      </w:r>
    </w:p>
    <w:p w14:paraId="356A4B69">
      <w:pPr>
        <w:spacing w:after="0" w:line="240" w:lineRule="auto"/>
        <w:ind w:right="-85" w:firstLine="720"/>
        <w:jc w:val="both"/>
        <w:rPr>
          <w:rFonts w:ascii="Times New Roman" w:hAnsi="Times New Roman" w:eastAsia="Times New Roman"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i/>
          <w:sz w:val="28"/>
          <w:szCs w:val="24"/>
          <w:lang w:eastAsia="ru-RU"/>
        </w:rPr>
        <w:t>Платежи при пользовании природными ресурсами</w:t>
      </w:r>
      <w:r>
        <w:rPr>
          <w:rFonts w:ascii="Times New Roman" w:hAnsi="Times New Roman" w:eastAsia="Times New Roman"/>
          <w:bCs/>
          <w:i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8"/>
          <w:szCs w:val="24"/>
          <w:lang w:eastAsia="ru-RU"/>
        </w:rPr>
        <w:t xml:space="preserve">составляют 31,8 % объема неналоговых доходов. Поступления сложились в сумме 421,5 тыс. руб., или 35,4 % плановых назначений. Снижение уровня доходов к уровню 2025 года  составило 66,7 тыс. руб. (2025г.- 488,2 тыс. руб.) </w:t>
      </w:r>
    </w:p>
    <w:p w14:paraId="016FA768">
      <w:pPr>
        <w:spacing w:after="0" w:line="240" w:lineRule="auto"/>
        <w:ind w:right="-85" w:firstLine="720"/>
        <w:jc w:val="both"/>
        <w:rPr>
          <w:rFonts w:ascii="Times New Roman" w:hAnsi="Times New Roman" w:eastAsia="Times New Roman"/>
          <w:bCs/>
          <w:spacing w:val="-6"/>
          <w:sz w:val="28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4"/>
          <w:lang w:eastAsia="ru-RU"/>
        </w:rPr>
        <w:t xml:space="preserve">Из общего объема поступлений </w:t>
      </w:r>
      <w:r>
        <w:rPr>
          <w:rFonts w:ascii="Times New Roman" w:hAnsi="Times New Roman" w:eastAsia="Times New Roman"/>
          <w:bCs/>
          <w:i/>
          <w:sz w:val="28"/>
          <w:szCs w:val="24"/>
          <w:lang w:eastAsia="ru-RU"/>
        </w:rPr>
        <w:t xml:space="preserve">плата за негативное воздействие на окружающую среду </w:t>
      </w:r>
      <w:r>
        <w:rPr>
          <w:rFonts w:ascii="Times New Roman" w:hAnsi="Times New Roman" w:eastAsia="Times New Roman"/>
          <w:bCs/>
          <w:sz w:val="28"/>
          <w:szCs w:val="24"/>
          <w:lang w:eastAsia="ru-RU"/>
        </w:rPr>
        <w:t>составила</w:t>
      </w:r>
      <w:r>
        <w:rPr>
          <w:rFonts w:ascii="Times New Roman" w:hAnsi="Times New Roman" w:eastAsia="Times New Roman"/>
          <w:bCs/>
          <w:spacing w:val="-6"/>
          <w:sz w:val="28"/>
          <w:szCs w:val="24"/>
          <w:lang w:eastAsia="ru-RU"/>
        </w:rPr>
        <w:t xml:space="preserve"> 100% поступлений, в том числе:</w:t>
      </w:r>
    </w:p>
    <w:p w14:paraId="4D9708B5">
      <w:pPr>
        <w:spacing w:after="0" w:line="240" w:lineRule="auto"/>
        <w:ind w:right="-85" w:firstLine="720"/>
        <w:jc w:val="both"/>
        <w:rPr>
          <w:rFonts w:ascii="Times New Roman" w:hAnsi="Times New Roman" w:eastAsia="Times New Roman"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/>
          <w:bCs/>
          <w:i/>
          <w:sz w:val="28"/>
          <w:szCs w:val="24"/>
          <w:lang w:eastAsia="ru-RU"/>
        </w:rPr>
        <w:t xml:space="preserve"> плата за размещение отходов производства и потребления – 407,6 тыс. рублей</w:t>
      </w:r>
      <w:r>
        <w:rPr>
          <w:rFonts w:ascii="Times New Roman" w:hAnsi="Times New Roman" w:eastAsia="Times New Roman"/>
          <w:bCs/>
          <w:sz w:val="28"/>
          <w:szCs w:val="24"/>
          <w:lang w:eastAsia="ru-RU"/>
        </w:rPr>
        <w:t>;</w:t>
      </w:r>
    </w:p>
    <w:p w14:paraId="693E778B">
      <w:pPr>
        <w:spacing w:after="0" w:line="240" w:lineRule="auto"/>
        <w:ind w:right="-85" w:firstLine="720"/>
        <w:jc w:val="both"/>
        <w:rPr>
          <w:rFonts w:ascii="Times New Roman" w:hAnsi="Times New Roman" w:eastAsia="Times New Roman"/>
          <w:bCs/>
          <w:i/>
          <w:sz w:val="28"/>
          <w:szCs w:val="24"/>
          <w:lang w:eastAsia="ru-RU"/>
        </w:rPr>
      </w:pPr>
      <w:r>
        <w:rPr>
          <w:rFonts w:ascii="Times New Roman" w:hAnsi="Times New Roman" w:eastAsia="Times New Roman"/>
          <w:bCs/>
          <w:i/>
          <w:sz w:val="28"/>
          <w:szCs w:val="24"/>
          <w:lang w:eastAsia="ru-RU"/>
        </w:rPr>
        <w:t xml:space="preserve"> плата за выбросы загрязняющих веществ в атмосферный воздух стационарными объектами- 13,9 тыс. рублей;</w:t>
      </w:r>
    </w:p>
    <w:p w14:paraId="270F3B15">
      <w:pPr>
        <w:spacing w:after="0" w:line="240" w:lineRule="auto"/>
        <w:ind w:right="-85" w:firstLine="720"/>
        <w:jc w:val="both"/>
        <w:rPr>
          <w:rFonts w:ascii="Times New Roman" w:hAnsi="Times New Roman" w:eastAsia="Times New Roman"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4"/>
          <w:lang w:eastAsia="ru-RU"/>
        </w:rPr>
        <w:t xml:space="preserve">Доходы от продажи материальных и нематериальных активов </w:t>
      </w:r>
      <w:r>
        <w:rPr>
          <w:rFonts w:ascii="Times New Roman" w:hAnsi="Times New Roman" w:eastAsia="Times New Roman"/>
          <w:bCs/>
          <w:sz w:val="28"/>
          <w:szCs w:val="24"/>
          <w:lang w:eastAsia="ru-RU"/>
        </w:rPr>
        <w:t>составили</w:t>
      </w:r>
      <w:r>
        <w:rPr>
          <w:rFonts w:ascii="Times New Roman" w:hAnsi="Times New Roman" w:eastAsia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8"/>
          <w:szCs w:val="24"/>
          <w:lang w:eastAsia="ru-RU"/>
        </w:rPr>
        <w:t>138,2 тыс. руб.</w:t>
      </w:r>
    </w:p>
    <w:p w14:paraId="6144CDD1">
      <w:pPr>
        <w:spacing w:after="0" w:line="240" w:lineRule="auto"/>
        <w:ind w:right="-85" w:firstLine="720"/>
        <w:jc w:val="both"/>
        <w:rPr>
          <w:rFonts w:ascii="Times New Roman" w:hAnsi="Times New Roman" w:eastAsia="Times New Roman"/>
          <w:bCs/>
          <w:sz w:val="28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4"/>
          <w:lang w:eastAsia="ru-RU"/>
        </w:rPr>
        <w:t xml:space="preserve">Штрафы и санкции – </w:t>
      </w:r>
      <w:r>
        <w:rPr>
          <w:rFonts w:ascii="Times New Roman" w:hAnsi="Times New Roman" w:eastAsia="Times New Roman"/>
          <w:bCs/>
          <w:sz w:val="28"/>
          <w:szCs w:val="24"/>
          <w:lang w:eastAsia="ru-RU"/>
        </w:rPr>
        <w:t>134,2 тыс. руб.</w:t>
      </w:r>
    </w:p>
    <w:p w14:paraId="46918064">
      <w:pPr>
        <w:spacing w:after="0" w:line="240" w:lineRule="auto"/>
        <w:ind w:right="-6" w:firstLine="7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За  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квартал 2026 года кассовое исполнение безвозмездных поступлений</w:t>
      </w:r>
      <w:r>
        <w:rPr>
          <w:rFonts w:ascii="Times New Roman" w:hAnsi="Times New Roman" w:eastAsia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составило  74343,5 тыс. руб., или 19,5 % утвержденных годовых назначений. По сравнению с аналогичным периодом 2025 года общий объем безвозмездных поступлений увеличился  на 11,3 %, или на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7562,4 тыс. руб. </w:t>
      </w:r>
    </w:p>
    <w:p w14:paraId="0E1C3665">
      <w:pPr>
        <w:spacing w:before="120" w:after="0" w:line="240" w:lineRule="auto"/>
        <w:ind w:right="-6" w:firstLine="720"/>
        <w:jc w:val="both"/>
        <w:rPr>
          <w:rFonts w:ascii="Times New Roman" w:hAnsi="Times New Roman" w:eastAsia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Объем полученных </w:t>
      </w:r>
      <w:r>
        <w:rPr>
          <w:rFonts w:ascii="Times New Roman" w:hAnsi="Times New Roman" w:eastAsia="Times New Roman"/>
          <w:b/>
          <w:i/>
          <w:sz w:val="28"/>
          <w:szCs w:val="28"/>
          <w:lang w:eastAsia="ru-RU"/>
        </w:rPr>
        <w:t xml:space="preserve">дотаций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составляет 21165,4 тыс. руб., или </w:t>
      </w:r>
      <w:r>
        <w:rPr>
          <w:rFonts w:ascii="Times New Roman" w:hAnsi="Times New Roman" w:eastAsia="Times New Roman"/>
          <w:spacing w:val="-6"/>
          <w:sz w:val="28"/>
          <w:szCs w:val="28"/>
          <w:lang w:eastAsia="ru-RU"/>
        </w:rPr>
        <w:t>28,5 % плановых назначений.</w:t>
      </w:r>
    </w:p>
    <w:p w14:paraId="643134CC">
      <w:pPr>
        <w:spacing w:after="0" w:line="240" w:lineRule="auto"/>
        <w:ind w:right="-6" w:firstLine="720"/>
        <w:jc w:val="both"/>
        <w:rPr>
          <w:rFonts w:ascii="Times New Roman" w:hAnsi="Times New Roman" w:eastAsia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pacing w:val="-2"/>
          <w:sz w:val="28"/>
          <w:szCs w:val="28"/>
          <w:lang w:eastAsia="ru-RU"/>
        </w:rPr>
        <w:t xml:space="preserve">За 1-й квартал 2026 года </w:t>
      </w:r>
      <w:r>
        <w:rPr>
          <w:rFonts w:ascii="Times New Roman" w:hAnsi="Times New Roman" w:eastAsia="Times New Roman"/>
          <w:i/>
          <w:spacing w:val="-2"/>
          <w:sz w:val="28"/>
          <w:szCs w:val="28"/>
          <w:lang w:eastAsia="ru-RU"/>
        </w:rPr>
        <w:t>дотации на выравнивание бюджетной обеспеченности</w:t>
      </w:r>
      <w:r>
        <w:rPr>
          <w:rFonts w:ascii="Times New Roman" w:hAnsi="Times New Roman" w:eastAsia="Times New Roman"/>
          <w:spacing w:val="-2"/>
          <w:sz w:val="28"/>
          <w:szCs w:val="28"/>
          <w:lang w:eastAsia="ru-RU"/>
        </w:rPr>
        <w:t xml:space="preserve"> поступили в объеме 17905,8 тыс. руб., или 28,9 % от годового плана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.</w:t>
      </w:r>
    </w:p>
    <w:p w14:paraId="5E34FAAD">
      <w:pPr>
        <w:spacing w:after="0" w:line="240" w:lineRule="auto"/>
        <w:ind w:right="-6" w:firstLine="7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i/>
          <w:spacing w:val="-2"/>
          <w:sz w:val="28"/>
          <w:szCs w:val="28"/>
          <w:lang w:eastAsia="ru-RU"/>
        </w:rPr>
        <w:t>Дотации</w:t>
      </w:r>
      <w:r>
        <w:rPr>
          <w:rFonts w:ascii="Times New Roman" w:hAnsi="Times New Roman" w:eastAsia="Times New Roman"/>
          <w:i/>
          <w:spacing w:val="-2"/>
          <w:sz w:val="28"/>
          <w:szCs w:val="28"/>
          <w:lang w:eastAsia="ru-RU"/>
        </w:rPr>
        <w:t xml:space="preserve"> бюджетам  на поддержку мер по обеспечению сбалансированности бюджетов</w:t>
      </w:r>
      <w:r>
        <w:rPr>
          <w:rFonts w:ascii="Times New Roman" w:hAnsi="Times New Roman" w:eastAsia="Times New Roman"/>
          <w:spacing w:val="-2"/>
          <w:sz w:val="28"/>
          <w:szCs w:val="28"/>
          <w:lang w:eastAsia="ru-RU"/>
        </w:rPr>
        <w:t xml:space="preserve"> за отчетный период исполнены в сумме 3,3  тыс. руб., или 26,0 </w:t>
      </w:r>
      <w:r>
        <w:rPr>
          <w:rFonts w:ascii="Times New Roman" w:hAnsi="Times New Roman" w:eastAsia="Times New Roman"/>
          <w:spacing w:val="-4"/>
          <w:sz w:val="28"/>
          <w:szCs w:val="28"/>
          <w:lang w:eastAsia="ru-RU"/>
        </w:rPr>
        <w:t>% плановых назначений.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</w:p>
    <w:p w14:paraId="3FCFCA56">
      <w:pPr>
        <w:spacing w:after="0" w:line="240" w:lineRule="auto"/>
        <w:ind w:right="-6" w:firstLine="720"/>
        <w:jc w:val="both"/>
        <w:rPr>
          <w:rFonts w:ascii="Times New Roman" w:hAnsi="Times New Roman" w:eastAsia="Times New Roman"/>
          <w:color w:val="FF0000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По сравнению с соответствующим уровнем прошлого года общий объем дотаций увеличился на    912,0 тыс. рублей.</w:t>
      </w:r>
    </w:p>
    <w:p w14:paraId="2388EE6E">
      <w:pPr>
        <w:spacing w:after="0" w:line="240" w:lineRule="auto"/>
        <w:ind w:right="-6" w:firstLine="720"/>
        <w:jc w:val="both"/>
        <w:rPr>
          <w:rFonts w:ascii="Times New Roman" w:hAnsi="Times New Roman" w:eastAsia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i/>
          <w:spacing w:val="-4"/>
          <w:sz w:val="28"/>
          <w:szCs w:val="28"/>
          <w:lang w:eastAsia="ru-RU"/>
        </w:rPr>
        <w:t>Субвенции</w:t>
      </w:r>
      <w:r>
        <w:rPr>
          <w:rFonts w:ascii="Times New Roman" w:hAnsi="Times New Roman" w:eastAsia="Times New Roman"/>
          <w:i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pacing w:val="-4"/>
          <w:sz w:val="28"/>
          <w:szCs w:val="28"/>
          <w:lang w:eastAsia="ru-RU"/>
        </w:rPr>
        <w:t>за отчетный период поступили в сумме 43091,0 тыс. руб., или 18,1% годового плана.</w:t>
      </w:r>
    </w:p>
    <w:p w14:paraId="06E2BB92">
      <w:pPr>
        <w:spacing w:after="0" w:line="240" w:lineRule="auto"/>
        <w:ind w:right="-6" w:firstLine="720"/>
        <w:jc w:val="both"/>
        <w:rPr>
          <w:rFonts w:ascii="Times New Roman" w:hAnsi="Times New Roman" w:eastAsia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pacing w:val="-4"/>
          <w:sz w:val="28"/>
          <w:szCs w:val="28"/>
          <w:lang w:eastAsia="ru-RU"/>
        </w:rPr>
        <w:t>Наибольшую долю в общей сумме субвенций занимают:</w:t>
      </w:r>
    </w:p>
    <w:p w14:paraId="5735164A">
      <w:pPr>
        <w:spacing w:after="0" w:line="240" w:lineRule="auto"/>
        <w:ind w:right="-6" w:firstLine="720"/>
        <w:jc w:val="both"/>
        <w:rPr>
          <w:rFonts w:ascii="Times New Roman" w:hAnsi="Times New Roman" w:eastAsia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pacing w:val="-4"/>
          <w:sz w:val="28"/>
          <w:szCs w:val="28"/>
          <w:lang w:eastAsia="ru-RU"/>
        </w:rPr>
        <w:t>- субвенции бюджетам муниципальных районов на осуществление отдельных полномочий в сфере образования  - 38755,2 тыс. руб. или 96,4 % общего объема субвенций;</w:t>
      </w:r>
    </w:p>
    <w:p w14:paraId="7CB50B9F">
      <w:pPr>
        <w:spacing w:after="0" w:line="240" w:lineRule="auto"/>
        <w:ind w:right="-6" w:firstLine="720"/>
        <w:jc w:val="both"/>
        <w:rPr>
          <w:rFonts w:ascii="Times New Roman" w:hAnsi="Times New Roman" w:eastAsia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i/>
          <w:spacing w:val="-4"/>
          <w:sz w:val="28"/>
          <w:szCs w:val="28"/>
          <w:lang w:eastAsia="ru-RU"/>
        </w:rPr>
        <w:t>Субсидии</w:t>
      </w:r>
      <w:r>
        <w:rPr>
          <w:rFonts w:ascii="Times New Roman" w:hAnsi="Times New Roman" w:eastAsia="Times New Roman"/>
          <w:spacing w:val="-4"/>
          <w:sz w:val="28"/>
          <w:szCs w:val="28"/>
          <w:lang w:eastAsia="ru-RU"/>
        </w:rPr>
        <w:t xml:space="preserve"> по итогам 1 квартала 2026 года бюджету муниципального района предоставлены в сумме 4550,1 тыс. руб., 12,3% утвержденного плана.</w:t>
      </w:r>
    </w:p>
    <w:p w14:paraId="76788FD5">
      <w:pPr>
        <w:spacing w:after="0" w:line="240" w:lineRule="auto"/>
        <w:ind w:right="-6" w:firstLine="720"/>
        <w:jc w:val="both"/>
        <w:rPr>
          <w:rFonts w:ascii="Times New Roman" w:hAnsi="Times New Roman" w:eastAsia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pacing w:val="-4"/>
          <w:sz w:val="28"/>
          <w:szCs w:val="28"/>
          <w:lang w:eastAsia="ru-RU"/>
        </w:rPr>
        <w:t xml:space="preserve"> Кассовое исполнение </w:t>
      </w:r>
      <w:r>
        <w:rPr>
          <w:rFonts w:ascii="Times New Roman" w:hAnsi="Times New Roman" w:eastAsia="Times New Roman"/>
          <w:b/>
          <w:i/>
          <w:spacing w:val="-4"/>
          <w:sz w:val="28"/>
          <w:szCs w:val="28"/>
          <w:lang w:eastAsia="ru-RU"/>
        </w:rPr>
        <w:t>иных межбюджетных трансфертов</w:t>
      </w:r>
      <w:r>
        <w:rPr>
          <w:rFonts w:ascii="Times New Roman" w:hAnsi="Times New Roman" w:eastAsia="Times New Roman"/>
          <w:i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pacing w:val="-4"/>
          <w:sz w:val="28"/>
          <w:szCs w:val="28"/>
          <w:lang w:eastAsia="ru-RU"/>
        </w:rPr>
        <w:t xml:space="preserve">составило 5966,1  тыс. руб., что составляет 19,0 % плановых назначений. По сравнению с аналогичным периодом прошлого года сумма </w:t>
      </w:r>
      <w:r>
        <w:rPr>
          <w:rFonts w:ascii="Times New Roman" w:hAnsi="Times New Roman" w:eastAsia="Times New Roman"/>
          <w:b/>
          <w:i/>
          <w:spacing w:val="-4"/>
          <w:sz w:val="28"/>
          <w:szCs w:val="28"/>
          <w:lang w:eastAsia="ru-RU"/>
        </w:rPr>
        <w:t>межбюджетных трансфертов увеличилась на 34,1%</w:t>
      </w:r>
      <w:r>
        <w:rPr>
          <w:rFonts w:ascii="Times New Roman" w:hAnsi="Times New Roman" w:eastAsia="Times New Roman"/>
          <w:spacing w:val="-4"/>
          <w:sz w:val="28"/>
          <w:szCs w:val="28"/>
          <w:lang w:eastAsia="ru-RU"/>
        </w:rPr>
        <w:t>.</w:t>
      </w:r>
    </w:p>
    <w:p w14:paraId="6DCD6F74">
      <w:pPr>
        <w:spacing w:after="0" w:line="240" w:lineRule="auto"/>
        <w:ind w:right="-6" w:firstLine="720"/>
        <w:jc w:val="both"/>
        <w:rPr>
          <w:rFonts w:ascii="Times New Roman" w:hAnsi="Times New Roman" w:eastAsia="Times New Roman"/>
          <w:color w:val="008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Общий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объём расходов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, утвержденный Решением Мглинского районного Совета народных депутатов о бюджете муниципального района на 2026 год, составляет 564129,8 тыс. руб. В соответствии с Отчетом об исполнении бюджета ф. 0503117 по состоянию на 01.04.2023 года, составленным в соответствии с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 утвержденной Приказом Минфина России от 28.10.2010г. №191н в редакции от 12.05.2020г. в графе 9 «Уточненная бюджетная роспись на 2026 год» Приложений 2,3,4 к Постановлению об утверждении отчета об исполнении бюджета Мглинского муниципального района Брянской области за 1 квартал 2026 года отражены плановые показатели с учетом изменений, вносимых в бюджет муниципального района в отчетном периоде.</w:t>
      </w:r>
    </w:p>
    <w:p w14:paraId="7418CD0B">
      <w:pPr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Исполнение расходов бюджета муниципального района  за </w:t>
      </w:r>
      <w:r>
        <w:rPr>
          <w:rFonts w:ascii="Times New Roman" w:hAnsi="Times New Roman" w:eastAsia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 квартал 2026 года составило 108348,1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руб.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, что соответствует 19,2 % уточненной бюджетной росписи. К уровню расходов аналогичного периода прошлого года (93927,4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руб.)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 расходы составили 115,3%.</w:t>
      </w:r>
    </w:p>
    <w:p w14:paraId="55CC9F63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Информация об исполнении расходов  бюджета муниципального района в разрезе разделов бюджетной классификации расходов представлена в таблице</w:t>
      </w:r>
    </w:p>
    <w:p w14:paraId="617E6B88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                                                                                    ( тыс. руб.)</w:t>
      </w:r>
    </w:p>
    <w:tbl>
      <w:tblPr>
        <w:tblStyle w:val="4"/>
        <w:tblW w:w="9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5"/>
        <w:gridCol w:w="922"/>
        <w:gridCol w:w="1704"/>
        <w:gridCol w:w="1557"/>
        <w:gridCol w:w="1701"/>
        <w:gridCol w:w="1134"/>
      </w:tblGrid>
      <w:tr w14:paraId="2FEF7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45" w:hRule="atLeast"/>
        </w:trPr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7D449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D16E1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lang w:eastAsia="ru-RU"/>
              </w:rPr>
              <w:t xml:space="preserve">Раздел 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1E5D2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lang w:eastAsia="ru-RU"/>
              </w:rPr>
              <w:t xml:space="preserve">Кассовое исполнение за 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lang w:val="en-US" w:eastAsia="ru-RU"/>
              </w:rPr>
              <w:t>I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lang w:eastAsia="ru-RU"/>
              </w:rPr>
              <w:t xml:space="preserve"> квартал 2025 года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A3A5C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lang w:eastAsia="ru-RU"/>
              </w:rPr>
              <w:t xml:space="preserve">Утверждено уточненной бюджетной росписью на 2026 год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A6461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lang w:eastAsia="ru-RU"/>
              </w:rPr>
              <w:t xml:space="preserve">Кассовое исполнение за 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lang w:val="en-US" w:eastAsia="ru-RU"/>
              </w:rPr>
              <w:t>I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lang w:eastAsia="ru-RU"/>
              </w:rPr>
              <w:t xml:space="preserve"> квартал 2026 года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41C4A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lang w:eastAsia="ru-RU"/>
              </w:rPr>
              <w:t>Процент исполнения</w:t>
            </w:r>
          </w:p>
        </w:tc>
      </w:tr>
      <w:tr w14:paraId="3D267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2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DF1151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9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9E20E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47B99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9696,3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0B7F4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66376,2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494AE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11944,9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49F01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</w:tr>
      <w:tr w14:paraId="3DDEF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2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DA4B1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9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D123D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8E953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126,0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E24B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1119,8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2A4B4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8D556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</w:tr>
      <w:tr w14:paraId="24449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</w:trPr>
        <w:tc>
          <w:tcPr>
            <w:tcW w:w="2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D4CA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E4582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0F395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1063,9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95057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6899,7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46499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1303,0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ABC7E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18,9</w:t>
            </w:r>
          </w:p>
        </w:tc>
      </w:tr>
      <w:tr w14:paraId="1DEFC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2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10BF78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9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C4E60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0116C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1411,9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AFCC7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37002,1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B5D3D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8752,8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AF88A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23,7</w:t>
            </w:r>
          </w:p>
        </w:tc>
      </w:tr>
      <w:tr w14:paraId="7C238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2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376530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9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9C647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BBF47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61,3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9F29C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27957,8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98B04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9B758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67FF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2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01BB98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Охрана окружающей среды</w:t>
            </w:r>
          </w:p>
        </w:tc>
        <w:tc>
          <w:tcPr>
            <w:tcW w:w="9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FEE71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B1DAC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5AAA5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4616,2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BA69A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21884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C738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2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B3E75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9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15773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301CB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65967,4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99E44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300258,7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2FA5F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63592,6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28B36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21,2</w:t>
            </w:r>
          </w:p>
        </w:tc>
      </w:tr>
      <w:tr w14:paraId="2D7A4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2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ADD98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9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1D108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C8061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9889,3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73791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50386,5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91872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10004,4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D8E3D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19,9</w:t>
            </w:r>
          </w:p>
        </w:tc>
      </w:tr>
      <w:tr w14:paraId="3AF06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2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C861AA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9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A6E3A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B35DC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2914,8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BA9A2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54366,0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2284C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9240,2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CEEE9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</w:tr>
      <w:tr w14:paraId="32CF3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2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262BA0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9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8D20E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834EF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2571,3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9156D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13905,3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874B0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2883,0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14E58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</w:tr>
      <w:tr w14:paraId="1D083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2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C49A9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276EF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D6973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225,3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D3AF9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1241,5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FAAFA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CE1F4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</w:tr>
      <w:tr w14:paraId="5E04A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75" w:hRule="atLeast"/>
        </w:trPr>
        <w:tc>
          <w:tcPr>
            <w:tcW w:w="2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25A2F1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9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2E0121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24636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93927,4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CC367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564129,8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2104E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108348,1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38942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19,2</w:t>
            </w:r>
          </w:p>
        </w:tc>
      </w:tr>
    </w:tbl>
    <w:p w14:paraId="56474E17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</w:p>
    <w:p w14:paraId="09F21ED1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</w:p>
    <w:p w14:paraId="057FCEAC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Исполнение расходов  бюджета муниципального района за </w:t>
      </w:r>
      <w:r>
        <w:rPr>
          <w:rFonts w:ascii="Times New Roman" w:hAnsi="Times New Roman" w:eastAsia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>-й  квартал  2026 года осуществлялось по 11 разделам бюджетной классификации расходов. Наибольший</w:t>
      </w:r>
      <w:r>
        <w:rPr>
          <w:rFonts w:ascii="Times New Roman" w:hAnsi="Times New Roman" w:eastAsia="Times New Roman"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удельный вес в общем объеме расходов составили расходы по 4 разделам: 07 «Образование», 01 «Общегосударственные вопросы»,08 «Культура, кинематография», 10 « Социальная политика»,  с удельным весом в общем объеме расходов 58,6 %; 11,0 %; 9,2%, 8,5%, соответственно. </w:t>
      </w:r>
    </w:p>
    <w:p w14:paraId="0E07F976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Наименьший процент исполнения сложился по разделу                              02 «Национальная оборона» (16,0%). </w:t>
      </w:r>
    </w:p>
    <w:p w14:paraId="5844AC5D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eastAsia="Times New Roman"/>
          <w:sz w:val="28"/>
          <w:szCs w:val="28"/>
          <w:lang w:eastAsia="ru-RU"/>
        </w:rPr>
      </w:pPr>
      <w:bookmarkStart w:id="0" w:name="_Toc419960521"/>
      <w:r>
        <w:rPr>
          <w:rFonts w:ascii="Times New Roman" w:hAnsi="Times New Roman" w:eastAsia="Times New Roman"/>
          <w:b/>
          <w:bCs/>
          <w:snapToGrid w:val="0"/>
          <w:sz w:val="28"/>
          <w:szCs w:val="28"/>
          <w:lang w:eastAsia="ru-RU"/>
        </w:rPr>
        <w:t xml:space="preserve"> </w:t>
      </w:r>
      <w:bookmarkEnd w:id="0"/>
      <w:r>
        <w:rPr>
          <w:rFonts w:ascii="Times New Roman" w:hAnsi="Times New Roman" w:eastAsia="Times New Roman"/>
          <w:sz w:val="28"/>
          <w:szCs w:val="28"/>
          <w:lang w:eastAsia="ru-RU"/>
        </w:rPr>
        <w:t>Анализ исполнения расходов бюджета муниципального района по отдельным разделам классификации расходов в отчетном периоде показал следующее.</w:t>
      </w:r>
    </w:p>
    <w:p w14:paraId="4032EC78">
      <w:pPr>
        <w:spacing w:after="0" w:line="240" w:lineRule="auto"/>
        <w:ind w:firstLine="70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 р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азделу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01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«Общегосударственные вопросы»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расходы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за 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-й квартал 2026 года исполнены в сумме 11944,9 тыс. руб., или 18,0% к утвержденным бюджетной росписью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. Доля расходов по разделу в общей структуре расходов  бюджета  муниципального района составила 11,0%.</w:t>
      </w:r>
    </w:p>
    <w:p w14:paraId="2DB63B6F">
      <w:pPr>
        <w:spacing w:after="0" w:line="240" w:lineRule="auto"/>
        <w:ind w:firstLine="708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По разделу отмечено увеличение объема кассовых расходов к аналогичному периоду 2025 г. на 2248,6 тыс. руб.</w:t>
      </w:r>
    </w:p>
    <w:p w14:paraId="7E0C6BD4">
      <w:pPr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По разделу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02 «Национальная оборона»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расходы бюджета муниципального района  за 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-й квартал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 2026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года сложились в сумме 179,1 тыс. руб., или 16,0 % к объему расходов, предусмотренных уточненной бюджетной росписью. Темп роста к аналогичному периоду 2025 года составил 142,0 %. Удельный вес расходов по разделу в общей структуре расходов  бюджета муниципального района  составил 0,2 %.</w:t>
      </w:r>
    </w:p>
    <w:p w14:paraId="47BC6E60">
      <w:pPr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 разделу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03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«Национальная безопасность и правоохранительная деятельность»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расходы  бюджета муниципального района за 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-й квартал 2026 года составили 1303,0 тыс. руб., или 18,9 % к объему расходов, предусмотренных уточненной бюджетной росписью на 2026 год. По разделу отмечено увеличение кассовых расходов к аналогичному периоду 2025 года на 239,1 тыс. руб. Удельный вес расходов в структуре расходов бюджета муниципального района составил 1,2 %.</w:t>
      </w:r>
    </w:p>
    <w:p w14:paraId="06B3B9B8">
      <w:pPr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 разделу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04 «Национальная экономика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»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исполнение расходов за 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-й квартал 2026 года сложилось в объеме 8752,8 тыс. руб., или 23,7 %. к объему расходов, предусмотренных уточненной бюджетной росписью на 2026 год.</w:t>
      </w:r>
    </w:p>
    <w:p w14:paraId="717101D9">
      <w:pPr>
        <w:spacing w:after="0" w:line="240" w:lineRule="auto"/>
        <w:ind w:firstLine="7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Доля расходов по разделу в общей структуре расходов  бюджета муниципального района составила 8,1%. </w:t>
      </w:r>
    </w:p>
    <w:p w14:paraId="633F6873">
      <w:pPr>
        <w:spacing w:after="0" w:line="240" w:lineRule="auto"/>
        <w:ind w:firstLine="7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целом по разделу отмечено увеличение объема кассовых расходов к аналогичному периоду 2025 года в 6,2 раза.  </w:t>
      </w:r>
    </w:p>
    <w:p w14:paraId="503A7333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По разделу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05 «Жилищно-коммунальное хозяйство»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расходы бюджета муниципального района за 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-й квартал 2026 года не осуществлялись.</w:t>
      </w:r>
    </w:p>
    <w:p w14:paraId="4710417C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 разделу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07 «Образование»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расходы  бюджета муниципального района за 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-й квартал 2026 года составили 63592,6  тыс. руб., или 21,2 % к объему расходов, предусмотренных уточненной бюджетной росписью на год. Доля расходов в общей структуре расходов районного бюджета составила 58,6%. Темп роста к аналогичному периоду 2025 года 96,0%.</w:t>
      </w:r>
    </w:p>
    <w:p w14:paraId="24C94B2B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По разделу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08 «Культура, кинематография»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на 2026 год расходы  бюджета муниципального района с учетом уточненной бюджетной росписи утверждены в объеме 50386,5 тыс. руб. Исполнение расходов за 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-й квартал составило 10004,4 тыс. рублей, или 19,9%. Расходы осуществлены на уровне аналогичного периода прошлого года. </w:t>
      </w:r>
    </w:p>
    <w:p w14:paraId="78929B63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общем объеме бюджета доля расходов по разделу составила 9,2%. </w:t>
      </w:r>
    </w:p>
    <w:p w14:paraId="1E6A1808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По разделу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>10 «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Социальная политика»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расходы  бюджета муниципального района за 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квартал  2026 года исполнены в сумме 9240,2  тыс. руб., или 17,0 % к утвержденным ассигнованиям. </w:t>
      </w:r>
    </w:p>
    <w:p w14:paraId="521AD8B0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Доля расходов по разделу в общей структуре расходов  составила 8,5 %. По сравнению с аналогичным периодом 2025 года расходы увеличились в 3,2 раза.</w:t>
      </w:r>
    </w:p>
    <w:p w14:paraId="286D1A07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По разделу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11 «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Физическая культура и спорт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расходы за 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-й квартал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 2026 года исполнены в сумме 2883,0 тыс. руб., или 20,7 %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утвержденных бюджетных ассигнований, что примерно на  уровне аналогичного периода  2025 года.</w:t>
      </w:r>
    </w:p>
    <w:p w14:paraId="1210B395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Удельный вес расходов по разделу в общей структуре расходов составил 2,7%. </w:t>
      </w:r>
    </w:p>
    <w:p w14:paraId="5C57F5DA">
      <w:pPr>
        <w:spacing w:after="0" w:line="240" w:lineRule="auto"/>
        <w:ind w:firstLine="7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По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разделу 14 «Межбюджетные трансферты общего характера бюджетам субъектов Российской Федерации и муниципальных образований»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за 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-й квартал 2026 года бюджетные расходы исполнены в объеме 448,5 тыс. руб., что соответствует 36,1% годового объема утвержденных расходов. Доля расходов в структуре  расходов бюджета составляет 0,4%.</w:t>
      </w:r>
    </w:p>
    <w:p w14:paraId="3CEE9752">
      <w:pPr>
        <w:spacing w:after="0" w:line="240" w:lineRule="auto"/>
        <w:ind w:firstLine="7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Объем расходов межбюджетных трансфертов к аналогичному периоду прошлого года увеличился на 223,2 тыс. руб.  </w:t>
      </w:r>
    </w:p>
    <w:p w14:paraId="4B6E0A4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67075D3">
      <w:pPr>
        <w:keepNext/>
        <w:keepLines/>
        <w:spacing w:after="0" w:line="240" w:lineRule="auto"/>
        <w:ind w:firstLine="708"/>
        <w:jc w:val="both"/>
        <w:outlineLvl w:val="0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bookmarkStart w:id="1" w:name="_Toc419960528"/>
      <w:r>
        <w:rPr>
          <w:rFonts w:ascii="Times New Roman" w:hAnsi="Times New Roman" w:eastAsia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Дефицит бюджета муниципального района  и источники внутреннего финансирования дефицита бюджета</w:t>
      </w:r>
      <w:bookmarkEnd w:id="1"/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14:paraId="3A0CC9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Решением  Мглинского районного Совета народных депутатов от 15.12.2025 № 7-142  «О  бюджете Мглинского муниципального района на 2026 год и на плановый период 2027 и 2028 годов»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принят сбалансированный бюджет. В соответствии с внесенными изменениями, бюджет муниципального района принят с дефицитом 11796,2 тыс. руб.</w:t>
      </w:r>
    </w:p>
    <w:p w14:paraId="4E5E71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соответствии с представленным администрацией Мглинского района отчетом, бюджет муниципального района  за 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квартал  2026 года исполнен с дефицитом в сумме 5236,0 тыс. руб.</w:t>
      </w:r>
    </w:p>
    <w:p w14:paraId="78F75821">
      <w:pPr>
        <w:keepNext/>
        <w:keepLines/>
        <w:spacing w:after="0" w:line="240" w:lineRule="auto"/>
        <w:ind w:firstLine="708"/>
        <w:jc w:val="both"/>
        <w:outlineLvl w:val="0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bookmarkStart w:id="2" w:name="_Toc419960533"/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>Резервный фонд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 местных администраций</w:t>
      </w:r>
      <w:bookmarkEnd w:id="2"/>
    </w:p>
    <w:p w14:paraId="01A61639">
      <w:pPr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>Решением  Мглинского районного Совета народных депутатов от 15.12.2025 № 7-142  «О  бюджете Мглинского муниципального района на 2026 год и на плановый период 2027 и 2028 годов»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объем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резервного фонда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pacing w:val="-6"/>
          <w:sz w:val="28"/>
          <w:szCs w:val="28"/>
          <w:lang w:eastAsia="ru-RU"/>
        </w:rPr>
        <w:t xml:space="preserve">на 2026 год утвержден в сумме 535,0 тыс. рублей.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Кассовое исполнение ассигнований за 1 квартал 2026 отсутствует.</w:t>
      </w:r>
    </w:p>
    <w:p w14:paraId="7877B35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bookmarkStart w:id="3" w:name="_Toc419960535"/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>Проведенное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>экспертно-аналитическое мероприятие о ходе исполнения бюджета за 1 квартал 2026 года позволяет сделать вывод, что отчет подготовлен в рамках полномочий Администрации Мглинского  муниципального района и не противоречит действующему законодательству и муниципальным правовым актам Мглинского района, а так же   удовлетворяет требованиям полноты отражения средств бюджета по доходам, расходам и источникам финансирования дефицита бюджета.</w:t>
      </w:r>
    </w:p>
    <w:p w14:paraId="6CAB5839">
      <w:pPr>
        <w:keepNext/>
        <w:keepLines/>
        <w:spacing w:after="0" w:line="240" w:lineRule="auto"/>
        <w:ind w:firstLine="709"/>
        <w:outlineLvl w:val="0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</w:p>
    <w:p w14:paraId="48F072A4">
      <w:pPr>
        <w:keepNext/>
        <w:keepLines/>
        <w:spacing w:after="0" w:line="240" w:lineRule="auto"/>
        <w:ind w:firstLine="709"/>
        <w:outlineLvl w:val="0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Предложения</w:t>
      </w:r>
      <w:bookmarkEnd w:id="3"/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>:</w:t>
      </w:r>
    </w:p>
    <w:p w14:paraId="2C7B68C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Направить заключение Контрольно-счетной палаты </w:t>
      </w:r>
    </w:p>
    <w:p w14:paraId="3C2D45FF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  в администрацию Мглинского района.</w:t>
      </w:r>
    </w:p>
    <w:p w14:paraId="06570946">
      <w:pPr>
        <w:widowControl w:val="0"/>
        <w:spacing w:after="0" w:line="240" w:lineRule="auto"/>
        <w:ind w:left="1134" w:hanging="283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2. Направить заключение Контрольно-счетной палаты в Мглинский               районный совет народных депутатов</w:t>
      </w:r>
    </w:p>
    <w:p w14:paraId="7F9BE3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</w:p>
    <w:p w14:paraId="1094AB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26CB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462EA4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Контрольно-счётной палаты</w:t>
      </w:r>
    </w:p>
    <w:p w14:paraId="732358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Мглинского района                                                                             Л.В. Чуприк</w:t>
      </w:r>
    </w:p>
    <w:sectPr>
      <w:footerReference r:id="rId5" w:type="default"/>
      <w:footerReference r:id="rId6" w:type="even"/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0BE7E">
    <w:pPr>
      <w:pStyle w:val="9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  <w:lang/>
      </w:rPr>
      <w:t>7</w:t>
    </w:r>
    <w:r>
      <w:rPr>
        <w:rStyle w:val="5"/>
      </w:rPr>
      <w:fldChar w:fldCharType="end"/>
    </w:r>
  </w:p>
  <w:p w14:paraId="34ADB92A"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46C4A">
    <w:pPr>
      <w:pStyle w:val="9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327CBED9">
    <w:pPr>
      <w:pStyle w:val="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3E60B5"/>
    <w:multiLevelType w:val="multilevel"/>
    <w:tmpl w:val="6C3E60B5"/>
    <w:lvl w:ilvl="0" w:tentative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64" w:hanging="360"/>
      </w:pPr>
    </w:lvl>
    <w:lvl w:ilvl="2" w:tentative="0">
      <w:start w:val="1"/>
      <w:numFmt w:val="lowerRoman"/>
      <w:lvlText w:val="%3."/>
      <w:lvlJc w:val="right"/>
      <w:pPr>
        <w:ind w:left="2584" w:hanging="180"/>
      </w:pPr>
    </w:lvl>
    <w:lvl w:ilvl="3" w:tentative="0">
      <w:start w:val="1"/>
      <w:numFmt w:val="decimal"/>
      <w:lvlText w:val="%4."/>
      <w:lvlJc w:val="left"/>
      <w:pPr>
        <w:ind w:left="3304" w:hanging="360"/>
      </w:pPr>
    </w:lvl>
    <w:lvl w:ilvl="4" w:tentative="0">
      <w:start w:val="1"/>
      <w:numFmt w:val="lowerLetter"/>
      <w:lvlText w:val="%5."/>
      <w:lvlJc w:val="left"/>
      <w:pPr>
        <w:ind w:left="4024" w:hanging="360"/>
      </w:pPr>
    </w:lvl>
    <w:lvl w:ilvl="5" w:tentative="0">
      <w:start w:val="1"/>
      <w:numFmt w:val="lowerRoman"/>
      <w:lvlText w:val="%6."/>
      <w:lvlJc w:val="right"/>
      <w:pPr>
        <w:ind w:left="4744" w:hanging="180"/>
      </w:pPr>
    </w:lvl>
    <w:lvl w:ilvl="6" w:tentative="0">
      <w:start w:val="1"/>
      <w:numFmt w:val="decimal"/>
      <w:lvlText w:val="%7."/>
      <w:lvlJc w:val="left"/>
      <w:pPr>
        <w:ind w:left="5464" w:hanging="360"/>
      </w:pPr>
    </w:lvl>
    <w:lvl w:ilvl="7" w:tentative="0">
      <w:start w:val="1"/>
      <w:numFmt w:val="lowerLetter"/>
      <w:lvlText w:val="%8."/>
      <w:lvlJc w:val="left"/>
      <w:pPr>
        <w:ind w:left="6184" w:hanging="360"/>
      </w:pPr>
    </w:lvl>
    <w:lvl w:ilvl="8" w:tentative="0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72D"/>
    <w:rsid w:val="000020BE"/>
    <w:rsid w:val="000068E7"/>
    <w:rsid w:val="00006D9B"/>
    <w:rsid w:val="0000788F"/>
    <w:rsid w:val="00007D7C"/>
    <w:rsid w:val="00007DAC"/>
    <w:rsid w:val="00010493"/>
    <w:rsid w:val="0001166D"/>
    <w:rsid w:val="00013605"/>
    <w:rsid w:val="0001455B"/>
    <w:rsid w:val="00014623"/>
    <w:rsid w:val="00015B58"/>
    <w:rsid w:val="00015E21"/>
    <w:rsid w:val="00017612"/>
    <w:rsid w:val="00020CFE"/>
    <w:rsid w:val="000246AE"/>
    <w:rsid w:val="00025AFB"/>
    <w:rsid w:val="00036298"/>
    <w:rsid w:val="00037661"/>
    <w:rsid w:val="00040EA8"/>
    <w:rsid w:val="00043033"/>
    <w:rsid w:val="00043425"/>
    <w:rsid w:val="0004418F"/>
    <w:rsid w:val="0004738B"/>
    <w:rsid w:val="00050336"/>
    <w:rsid w:val="000523A2"/>
    <w:rsid w:val="000528BF"/>
    <w:rsid w:val="00053001"/>
    <w:rsid w:val="00053159"/>
    <w:rsid w:val="00054C88"/>
    <w:rsid w:val="00070B1D"/>
    <w:rsid w:val="000724AB"/>
    <w:rsid w:val="000726F1"/>
    <w:rsid w:val="00077E05"/>
    <w:rsid w:val="00082042"/>
    <w:rsid w:val="0008206A"/>
    <w:rsid w:val="00086D95"/>
    <w:rsid w:val="000904DE"/>
    <w:rsid w:val="00091EC0"/>
    <w:rsid w:val="00092010"/>
    <w:rsid w:val="000921CF"/>
    <w:rsid w:val="00093E0A"/>
    <w:rsid w:val="00097B99"/>
    <w:rsid w:val="000A1A14"/>
    <w:rsid w:val="000A28BD"/>
    <w:rsid w:val="000A2D3E"/>
    <w:rsid w:val="000A3029"/>
    <w:rsid w:val="000A6384"/>
    <w:rsid w:val="000B0AD6"/>
    <w:rsid w:val="000B2E57"/>
    <w:rsid w:val="000B3B01"/>
    <w:rsid w:val="000B3BED"/>
    <w:rsid w:val="000B77EF"/>
    <w:rsid w:val="000C0AF4"/>
    <w:rsid w:val="000C2E10"/>
    <w:rsid w:val="000D1229"/>
    <w:rsid w:val="000D21A9"/>
    <w:rsid w:val="000D34B9"/>
    <w:rsid w:val="000D60FE"/>
    <w:rsid w:val="000D6CEE"/>
    <w:rsid w:val="000D7D5B"/>
    <w:rsid w:val="000E050C"/>
    <w:rsid w:val="000E285E"/>
    <w:rsid w:val="000E31C4"/>
    <w:rsid w:val="000E3D90"/>
    <w:rsid w:val="000E59A8"/>
    <w:rsid w:val="000F10F6"/>
    <w:rsid w:val="000F4ECD"/>
    <w:rsid w:val="000F5212"/>
    <w:rsid w:val="000F6B3F"/>
    <w:rsid w:val="0010114D"/>
    <w:rsid w:val="00101A6F"/>
    <w:rsid w:val="001025ED"/>
    <w:rsid w:val="00102908"/>
    <w:rsid w:val="0010524D"/>
    <w:rsid w:val="00106C17"/>
    <w:rsid w:val="001112E3"/>
    <w:rsid w:val="001154CA"/>
    <w:rsid w:val="00116345"/>
    <w:rsid w:val="00117A4F"/>
    <w:rsid w:val="00121223"/>
    <w:rsid w:val="00122E65"/>
    <w:rsid w:val="00125388"/>
    <w:rsid w:val="00125C39"/>
    <w:rsid w:val="001270EB"/>
    <w:rsid w:val="001311A9"/>
    <w:rsid w:val="00132EAF"/>
    <w:rsid w:val="00132F9D"/>
    <w:rsid w:val="00135C15"/>
    <w:rsid w:val="00142220"/>
    <w:rsid w:val="00143D68"/>
    <w:rsid w:val="001440E7"/>
    <w:rsid w:val="00146C5A"/>
    <w:rsid w:val="00150701"/>
    <w:rsid w:val="00154BB0"/>
    <w:rsid w:val="00155474"/>
    <w:rsid w:val="00156273"/>
    <w:rsid w:val="001646A4"/>
    <w:rsid w:val="00164E2A"/>
    <w:rsid w:val="00172C20"/>
    <w:rsid w:val="00172CB2"/>
    <w:rsid w:val="00173011"/>
    <w:rsid w:val="00173986"/>
    <w:rsid w:val="00177F86"/>
    <w:rsid w:val="0018093B"/>
    <w:rsid w:val="00181D16"/>
    <w:rsid w:val="001820ED"/>
    <w:rsid w:val="0018354C"/>
    <w:rsid w:val="00185A20"/>
    <w:rsid w:val="00185C81"/>
    <w:rsid w:val="00185F6C"/>
    <w:rsid w:val="001918E0"/>
    <w:rsid w:val="0019641A"/>
    <w:rsid w:val="001A02C8"/>
    <w:rsid w:val="001A6BE4"/>
    <w:rsid w:val="001A7C50"/>
    <w:rsid w:val="001B6987"/>
    <w:rsid w:val="001B7F93"/>
    <w:rsid w:val="001C03B8"/>
    <w:rsid w:val="001C64F8"/>
    <w:rsid w:val="001D12D8"/>
    <w:rsid w:val="001D1A18"/>
    <w:rsid w:val="001D2D07"/>
    <w:rsid w:val="001D3F20"/>
    <w:rsid w:val="001E0361"/>
    <w:rsid w:val="001E112D"/>
    <w:rsid w:val="001E317D"/>
    <w:rsid w:val="001E50A6"/>
    <w:rsid w:val="001E6153"/>
    <w:rsid w:val="001F0D56"/>
    <w:rsid w:val="001F2BAF"/>
    <w:rsid w:val="002042F0"/>
    <w:rsid w:val="00211479"/>
    <w:rsid w:val="00212A86"/>
    <w:rsid w:val="00214809"/>
    <w:rsid w:val="002148A7"/>
    <w:rsid w:val="00215BEC"/>
    <w:rsid w:val="00222B31"/>
    <w:rsid w:val="00222ECB"/>
    <w:rsid w:val="0022339F"/>
    <w:rsid w:val="002253E9"/>
    <w:rsid w:val="00227355"/>
    <w:rsid w:val="00234180"/>
    <w:rsid w:val="002431C8"/>
    <w:rsid w:val="00243F4E"/>
    <w:rsid w:val="002449E6"/>
    <w:rsid w:val="0024536E"/>
    <w:rsid w:val="00245DD3"/>
    <w:rsid w:val="002469BE"/>
    <w:rsid w:val="00247EC9"/>
    <w:rsid w:val="002502C6"/>
    <w:rsid w:val="00251668"/>
    <w:rsid w:val="0025454A"/>
    <w:rsid w:val="002545E4"/>
    <w:rsid w:val="00255035"/>
    <w:rsid w:val="00256941"/>
    <w:rsid w:val="002607B4"/>
    <w:rsid w:val="00261F3D"/>
    <w:rsid w:val="002646C0"/>
    <w:rsid w:val="00264FCE"/>
    <w:rsid w:val="0026788E"/>
    <w:rsid w:val="00272B65"/>
    <w:rsid w:val="00274A48"/>
    <w:rsid w:val="002765CA"/>
    <w:rsid w:val="00280439"/>
    <w:rsid w:val="00281AF3"/>
    <w:rsid w:val="002821E5"/>
    <w:rsid w:val="00283FF4"/>
    <w:rsid w:val="00287BAC"/>
    <w:rsid w:val="0029054B"/>
    <w:rsid w:val="00293C75"/>
    <w:rsid w:val="00295BF3"/>
    <w:rsid w:val="00296719"/>
    <w:rsid w:val="002A102B"/>
    <w:rsid w:val="002A57D9"/>
    <w:rsid w:val="002B0025"/>
    <w:rsid w:val="002B57AD"/>
    <w:rsid w:val="002B6C13"/>
    <w:rsid w:val="002C1E6B"/>
    <w:rsid w:val="002C3CE4"/>
    <w:rsid w:val="002C6482"/>
    <w:rsid w:val="002D0361"/>
    <w:rsid w:val="002D1500"/>
    <w:rsid w:val="002D5C1D"/>
    <w:rsid w:val="002D5D22"/>
    <w:rsid w:val="002D719A"/>
    <w:rsid w:val="002D7DE9"/>
    <w:rsid w:val="002E173B"/>
    <w:rsid w:val="002E2D78"/>
    <w:rsid w:val="002E315B"/>
    <w:rsid w:val="002E36E4"/>
    <w:rsid w:val="002E4AA5"/>
    <w:rsid w:val="002E5083"/>
    <w:rsid w:val="002E616C"/>
    <w:rsid w:val="002E74E4"/>
    <w:rsid w:val="002F138F"/>
    <w:rsid w:val="002F23A3"/>
    <w:rsid w:val="002F7567"/>
    <w:rsid w:val="002F7744"/>
    <w:rsid w:val="00301BD4"/>
    <w:rsid w:val="003058BF"/>
    <w:rsid w:val="0031228A"/>
    <w:rsid w:val="00312390"/>
    <w:rsid w:val="00314391"/>
    <w:rsid w:val="00316E97"/>
    <w:rsid w:val="003171DF"/>
    <w:rsid w:val="00321EAB"/>
    <w:rsid w:val="00322801"/>
    <w:rsid w:val="003254A6"/>
    <w:rsid w:val="00326CE3"/>
    <w:rsid w:val="0033125C"/>
    <w:rsid w:val="003345FB"/>
    <w:rsid w:val="00334EE2"/>
    <w:rsid w:val="00336C93"/>
    <w:rsid w:val="00337D19"/>
    <w:rsid w:val="0034239F"/>
    <w:rsid w:val="00345930"/>
    <w:rsid w:val="003519E0"/>
    <w:rsid w:val="0035247B"/>
    <w:rsid w:val="00355817"/>
    <w:rsid w:val="003558CB"/>
    <w:rsid w:val="00357CA8"/>
    <w:rsid w:val="003600A6"/>
    <w:rsid w:val="0036150D"/>
    <w:rsid w:val="00363238"/>
    <w:rsid w:val="0036324A"/>
    <w:rsid w:val="00363F55"/>
    <w:rsid w:val="0036538F"/>
    <w:rsid w:val="00372223"/>
    <w:rsid w:val="00373344"/>
    <w:rsid w:val="00374911"/>
    <w:rsid w:val="00376B70"/>
    <w:rsid w:val="003773F5"/>
    <w:rsid w:val="00377DD9"/>
    <w:rsid w:val="00380148"/>
    <w:rsid w:val="00380546"/>
    <w:rsid w:val="00382DBA"/>
    <w:rsid w:val="003838B9"/>
    <w:rsid w:val="00385E1C"/>
    <w:rsid w:val="00386D5A"/>
    <w:rsid w:val="00386E01"/>
    <w:rsid w:val="00387708"/>
    <w:rsid w:val="00387C4F"/>
    <w:rsid w:val="003906ED"/>
    <w:rsid w:val="00394EFA"/>
    <w:rsid w:val="0039667E"/>
    <w:rsid w:val="00396C5A"/>
    <w:rsid w:val="003A01AC"/>
    <w:rsid w:val="003A3053"/>
    <w:rsid w:val="003A4B35"/>
    <w:rsid w:val="003B4C1E"/>
    <w:rsid w:val="003B56C0"/>
    <w:rsid w:val="003B5BBC"/>
    <w:rsid w:val="003B5FE3"/>
    <w:rsid w:val="003B6D3D"/>
    <w:rsid w:val="003B7989"/>
    <w:rsid w:val="003C169D"/>
    <w:rsid w:val="003C5ADA"/>
    <w:rsid w:val="003C79D6"/>
    <w:rsid w:val="003D0DB8"/>
    <w:rsid w:val="003D20E9"/>
    <w:rsid w:val="003D2E5F"/>
    <w:rsid w:val="003D6595"/>
    <w:rsid w:val="003E2F83"/>
    <w:rsid w:val="003E4401"/>
    <w:rsid w:val="003F209A"/>
    <w:rsid w:val="003F359E"/>
    <w:rsid w:val="003F6A94"/>
    <w:rsid w:val="003F6E2B"/>
    <w:rsid w:val="004002DF"/>
    <w:rsid w:val="00400DBD"/>
    <w:rsid w:val="004014F4"/>
    <w:rsid w:val="004042F7"/>
    <w:rsid w:val="00406843"/>
    <w:rsid w:val="00406BBB"/>
    <w:rsid w:val="004075D5"/>
    <w:rsid w:val="004106BD"/>
    <w:rsid w:val="004124D3"/>
    <w:rsid w:val="004144B7"/>
    <w:rsid w:val="00416CDF"/>
    <w:rsid w:val="0042217B"/>
    <w:rsid w:val="004225D0"/>
    <w:rsid w:val="00423FDE"/>
    <w:rsid w:val="00426214"/>
    <w:rsid w:val="00426F09"/>
    <w:rsid w:val="00431D00"/>
    <w:rsid w:val="00434074"/>
    <w:rsid w:val="00434807"/>
    <w:rsid w:val="004351C1"/>
    <w:rsid w:val="00451CB6"/>
    <w:rsid w:val="004525FA"/>
    <w:rsid w:val="00456E29"/>
    <w:rsid w:val="00457028"/>
    <w:rsid w:val="004607CC"/>
    <w:rsid w:val="00463093"/>
    <w:rsid w:val="0046375C"/>
    <w:rsid w:val="00465937"/>
    <w:rsid w:val="00465DAD"/>
    <w:rsid w:val="00474420"/>
    <w:rsid w:val="00475AFA"/>
    <w:rsid w:val="00475FD7"/>
    <w:rsid w:val="00482A5E"/>
    <w:rsid w:val="00487312"/>
    <w:rsid w:val="00492F97"/>
    <w:rsid w:val="00494B41"/>
    <w:rsid w:val="00495F6A"/>
    <w:rsid w:val="004A33F8"/>
    <w:rsid w:val="004A63B7"/>
    <w:rsid w:val="004B2C70"/>
    <w:rsid w:val="004B4BF1"/>
    <w:rsid w:val="004C35D3"/>
    <w:rsid w:val="004C3E7F"/>
    <w:rsid w:val="004C77B3"/>
    <w:rsid w:val="004D0B40"/>
    <w:rsid w:val="004E2829"/>
    <w:rsid w:val="004E31F0"/>
    <w:rsid w:val="004E7719"/>
    <w:rsid w:val="004E788C"/>
    <w:rsid w:val="004E7D92"/>
    <w:rsid w:val="004F00A2"/>
    <w:rsid w:val="004F1525"/>
    <w:rsid w:val="004F1706"/>
    <w:rsid w:val="004F417D"/>
    <w:rsid w:val="004F4345"/>
    <w:rsid w:val="004F5367"/>
    <w:rsid w:val="004F5E69"/>
    <w:rsid w:val="00504DD1"/>
    <w:rsid w:val="00506E95"/>
    <w:rsid w:val="00507AD6"/>
    <w:rsid w:val="00507C01"/>
    <w:rsid w:val="00510786"/>
    <w:rsid w:val="00513AEF"/>
    <w:rsid w:val="00514156"/>
    <w:rsid w:val="005207A5"/>
    <w:rsid w:val="00524B66"/>
    <w:rsid w:val="005276BA"/>
    <w:rsid w:val="0053144F"/>
    <w:rsid w:val="005345E7"/>
    <w:rsid w:val="0053652E"/>
    <w:rsid w:val="00536A5A"/>
    <w:rsid w:val="005404EB"/>
    <w:rsid w:val="00540FA6"/>
    <w:rsid w:val="00547A4B"/>
    <w:rsid w:val="00547B98"/>
    <w:rsid w:val="005517E0"/>
    <w:rsid w:val="00551B68"/>
    <w:rsid w:val="0055314D"/>
    <w:rsid w:val="005553D7"/>
    <w:rsid w:val="00555BDE"/>
    <w:rsid w:val="00556264"/>
    <w:rsid w:val="00556E9E"/>
    <w:rsid w:val="005575B7"/>
    <w:rsid w:val="00557DFA"/>
    <w:rsid w:val="005602BC"/>
    <w:rsid w:val="00560E7F"/>
    <w:rsid w:val="0056536F"/>
    <w:rsid w:val="00566376"/>
    <w:rsid w:val="00566599"/>
    <w:rsid w:val="005701EC"/>
    <w:rsid w:val="00571074"/>
    <w:rsid w:val="005740AC"/>
    <w:rsid w:val="00575705"/>
    <w:rsid w:val="005816A0"/>
    <w:rsid w:val="0058180C"/>
    <w:rsid w:val="00581970"/>
    <w:rsid w:val="00584A2D"/>
    <w:rsid w:val="0058775B"/>
    <w:rsid w:val="00597823"/>
    <w:rsid w:val="005A2A0A"/>
    <w:rsid w:val="005A6795"/>
    <w:rsid w:val="005A7ECB"/>
    <w:rsid w:val="005B0394"/>
    <w:rsid w:val="005B0EA9"/>
    <w:rsid w:val="005B1212"/>
    <w:rsid w:val="005B2851"/>
    <w:rsid w:val="005B296D"/>
    <w:rsid w:val="005B5C73"/>
    <w:rsid w:val="005B7B01"/>
    <w:rsid w:val="005C2C07"/>
    <w:rsid w:val="005C7782"/>
    <w:rsid w:val="005D1CFD"/>
    <w:rsid w:val="005D25E3"/>
    <w:rsid w:val="005D4E73"/>
    <w:rsid w:val="005D63F6"/>
    <w:rsid w:val="005D76BB"/>
    <w:rsid w:val="005E20F2"/>
    <w:rsid w:val="005E2A46"/>
    <w:rsid w:val="005E3888"/>
    <w:rsid w:val="005E43F8"/>
    <w:rsid w:val="005E527B"/>
    <w:rsid w:val="005E52C4"/>
    <w:rsid w:val="005F18CC"/>
    <w:rsid w:val="005F1CFD"/>
    <w:rsid w:val="005F2DC3"/>
    <w:rsid w:val="005F2F34"/>
    <w:rsid w:val="005F534D"/>
    <w:rsid w:val="005F61BD"/>
    <w:rsid w:val="005F7AAC"/>
    <w:rsid w:val="00600635"/>
    <w:rsid w:val="00601B77"/>
    <w:rsid w:val="006029DE"/>
    <w:rsid w:val="00603161"/>
    <w:rsid w:val="00603F2B"/>
    <w:rsid w:val="00610411"/>
    <w:rsid w:val="00622031"/>
    <w:rsid w:val="0062338F"/>
    <w:rsid w:val="006233B0"/>
    <w:rsid w:val="00627FAB"/>
    <w:rsid w:val="00637BF7"/>
    <w:rsid w:val="00640386"/>
    <w:rsid w:val="00641B60"/>
    <w:rsid w:val="006430E8"/>
    <w:rsid w:val="00644A64"/>
    <w:rsid w:val="00647C0D"/>
    <w:rsid w:val="006500A2"/>
    <w:rsid w:val="00650899"/>
    <w:rsid w:val="006531F8"/>
    <w:rsid w:val="00655E33"/>
    <w:rsid w:val="00662DDF"/>
    <w:rsid w:val="006663FE"/>
    <w:rsid w:val="00667F85"/>
    <w:rsid w:val="006710A8"/>
    <w:rsid w:val="006726F3"/>
    <w:rsid w:val="00675BF2"/>
    <w:rsid w:val="00680288"/>
    <w:rsid w:val="00684C72"/>
    <w:rsid w:val="00685279"/>
    <w:rsid w:val="006852EE"/>
    <w:rsid w:val="00685D22"/>
    <w:rsid w:val="00685E6C"/>
    <w:rsid w:val="00691BCC"/>
    <w:rsid w:val="00694D25"/>
    <w:rsid w:val="00695D0A"/>
    <w:rsid w:val="0069690B"/>
    <w:rsid w:val="006A0221"/>
    <w:rsid w:val="006A0F38"/>
    <w:rsid w:val="006A625E"/>
    <w:rsid w:val="006A6942"/>
    <w:rsid w:val="006B0201"/>
    <w:rsid w:val="006C7546"/>
    <w:rsid w:val="006D0111"/>
    <w:rsid w:val="006D355A"/>
    <w:rsid w:val="006D6387"/>
    <w:rsid w:val="006D6EF8"/>
    <w:rsid w:val="006E0D4E"/>
    <w:rsid w:val="006E0DA5"/>
    <w:rsid w:val="006E1764"/>
    <w:rsid w:val="006E49CD"/>
    <w:rsid w:val="006E61A8"/>
    <w:rsid w:val="006E7CBD"/>
    <w:rsid w:val="006F100E"/>
    <w:rsid w:val="006F14AB"/>
    <w:rsid w:val="006F3468"/>
    <w:rsid w:val="006F5324"/>
    <w:rsid w:val="006F6D79"/>
    <w:rsid w:val="007011FF"/>
    <w:rsid w:val="00702BF0"/>
    <w:rsid w:val="00702F4D"/>
    <w:rsid w:val="0070387D"/>
    <w:rsid w:val="00704BEF"/>
    <w:rsid w:val="00704D12"/>
    <w:rsid w:val="007062D6"/>
    <w:rsid w:val="0071041B"/>
    <w:rsid w:val="00717150"/>
    <w:rsid w:val="00717991"/>
    <w:rsid w:val="007205B7"/>
    <w:rsid w:val="007210FC"/>
    <w:rsid w:val="0072194E"/>
    <w:rsid w:val="00723220"/>
    <w:rsid w:val="00724B8C"/>
    <w:rsid w:val="00727B70"/>
    <w:rsid w:val="007376D9"/>
    <w:rsid w:val="00740028"/>
    <w:rsid w:val="00740CD8"/>
    <w:rsid w:val="007429EB"/>
    <w:rsid w:val="007441A3"/>
    <w:rsid w:val="007445A0"/>
    <w:rsid w:val="007451EF"/>
    <w:rsid w:val="00747D56"/>
    <w:rsid w:val="007506C8"/>
    <w:rsid w:val="007511A5"/>
    <w:rsid w:val="00760FC6"/>
    <w:rsid w:val="00762736"/>
    <w:rsid w:val="00765362"/>
    <w:rsid w:val="00771D05"/>
    <w:rsid w:val="00772280"/>
    <w:rsid w:val="00775650"/>
    <w:rsid w:val="007764AC"/>
    <w:rsid w:val="00777127"/>
    <w:rsid w:val="007838C4"/>
    <w:rsid w:val="00785312"/>
    <w:rsid w:val="00786599"/>
    <w:rsid w:val="00787CCE"/>
    <w:rsid w:val="00794D4F"/>
    <w:rsid w:val="00797FB2"/>
    <w:rsid w:val="007A1436"/>
    <w:rsid w:val="007A293B"/>
    <w:rsid w:val="007A3832"/>
    <w:rsid w:val="007A6B2B"/>
    <w:rsid w:val="007B5DB8"/>
    <w:rsid w:val="007B6094"/>
    <w:rsid w:val="007C1CC8"/>
    <w:rsid w:val="007C28F6"/>
    <w:rsid w:val="007C3F27"/>
    <w:rsid w:val="007C55E5"/>
    <w:rsid w:val="007C61B2"/>
    <w:rsid w:val="007C6A52"/>
    <w:rsid w:val="007D21E3"/>
    <w:rsid w:val="007D4A2E"/>
    <w:rsid w:val="007D5F39"/>
    <w:rsid w:val="007D61D4"/>
    <w:rsid w:val="007E29F6"/>
    <w:rsid w:val="007E2A53"/>
    <w:rsid w:val="007E3D9E"/>
    <w:rsid w:val="007E6690"/>
    <w:rsid w:val="007F2B49"/>
    <w:rsid w:val="007F2C76"/>
    <w:rsid w:val="007F5DAC"/>
    <w:rsid w:val="00801068"/>
    <w:rsid w:val="00814EED"/>
    <w:rsid w:val="00815FC1"/>
    <w:rsid w:val="00816F4D"/>
    <w:rsid w:val="00820241"/>
    <w:rsid w:val="00820EB8"/>
    <w:rsid w:val="00821FCD"/>
    <w:rsid w:val="0082383E"/>
    <w:rsid w:val="00823ECA"/>
    <w:rsid w:val="008266D3"/>
    <w:rsid w:val="008328B8"/>
    <w:rsid w:val="00833085"/>
    <w:rsid w:val="008346AD"/>
    <w:rsid w:val="008347BC"/>
    <w:rsid w:val="00841EBF"/>
    <w:rsid w:val="00843C21"/>
    <w:rsid w:val="00846897"/>
    <w:rsid w:val="00851AB0"/>
    <w:rsid w:val="00852FD8"/>
    <w:rsid w:val="008539D4"/>
    <w:rsid w:val="00853AF6"/>
    <w:rsid w:val="00855A5F"/>
    <w:rsid w:val="00857DA5"/>
    <w:rsid w:val="00867268"/>
    <w:rsid w:val="00870782"/>
    <w:rsid w:val="00870C0E"/>
    <w:rsid w:val="008711D6"/>
    <w:rsid w:val="00875258"/>
    <w:rsid w:val="00880468"/>
    <w:rsid w:val="00881075"/>
    <w:rsid w:val="00882AED"/>
    <w:rsid w:val="008838F8"/>
    <w:rsid w:val="00883C1D"/>
    <w:rsid w:val="00884E63"/>
    <w:rsid w:val="00885009"/>
    <w:rsid w:val="00886CC2"/>
    <w:rsid w:val="00890C31"/>
    <w:rsid w:val="00891AAD"/>
    <w:rsid w:val="00893BDF"/>
    <w:rsid w:val="00893FE7"/>
    <w:rsid w:val="008A1BDB"/>
    <w:rsid w:val="008B58E2"/>
    <w:rsid w:val="008C15D7"/>
    <w:rsid w:val="008C2DE8"/>
    <w:rsid w:val="008C6570"/>
    <w:rsid w:val="008D1B29"/>
    <w:rsid w:val="008D4235"/>
    <w:rsid w:val="008D44E5"/>
    <w:rsid w:val="008D5094"/>
    <w:rsid w:val="008D52BA"/>
    <w:rsid w:val="008E2143"/>
    <w:rsid w:val="008E52C3"/>
    <w:rsid w:val="008E585E"/>
    <w:rsid w:val="008E66BE"/>
    <w:rsid w:val="008E68C6"/>
    <w:rsid w:val="008E6AF5"/>
    <w:rsid w:val="008F0C89"/>
    <w:rsid w:val="008F15E7"/>
    <w:rsid w:val="008F76D9"/>
    <w:rsid w:val="009002F7"/>
    <w:rsid w:val="00902D40"/>
    <w:rsid w:val="00904600"/>
    <w:rsid w:val="00905939"/>
    <w:rsid w:val="00905EF1"/>
    <w:rsid w:val="009104EF"/>
    <w:rsid w:val="00913318"/>
    <w:rsid w:val="009134E7"/>
    <w:rsid w:val="00913939"/>
    <w:rsid w:val="00913FF0"/>
    <w:rsid w:val="009155CB"/>
    <w:rsid w:val="00916343"/>
    <w:rsid w:val="00916E20"/>
    <w:rsid w:val="00921488"/>
    <w:rsid w:val="009244A8"/>
    <w:rsid w:val="00925C8F"/>
    <w:rsid w:val="00931A16"/>
    <w:rsid w:val="00934B8A"/>
    <w:rsid w:val="009357FF"/>
    <w:rsid w:val="0093702A"/>
    <w:rsid w:val="00944534"/>
    <w:rsid w:val="00944866"/>
    <w:rsid w:val="00945526"/>
    <w:rsid w:val="0095067A"/>
    <w:rsid w:val="009617B5"/>
    <w:rsid w:val="00961E1A"/>
    <w:rsid w:val="0096278F"/>
    <w:rsid w:val="00963AA8"/>
    <w:rsid w:val="0096499B"/>
    <w:rsid w:val="00967439"/>
    <w:rsid w:val="0097700A"/>
    <w:rsid w:val="00980196"/>
    <w:rsid w:val="009829BA"/>
    <w:rsid w:val="00983701"/>
    <w:rsid w:val="0098568B"/>
    <w:rsid w:val="00987DAA"/>
    <w:rsid w:val="00991C4A"/>
    <w:rsid w:val="00991C6D"/>
    <w:rsid w:val="00991FE6"/>
    <w:rsid w:val="00993FC9"/>
    <w:rsid w:val="009948B2"/>
    <w:rsid w:val="00996EE5"/>
    <w:rsid w:val="009A0797"/>
    <w:rsid w:val="009A668A"/>
    <w:rsid w:val="009B78D8"/>
    <w:rsid w:val="009C2B55"/>
    <w:rsid w:val="009C4F96"/>
    <w:rsid w:val="009C7324"/>
    <w:rsid w:val="009D4D82"/>
    <w:rsid w:val="009E043E"/>
    <w:rsid w:val="009E203A"/>
    <w:rsid w:val="009E7F5B"/>
    <w:rsid w:val="009F2E84"/>
    <w:rsid w:val="009F3DBA"/>
    <w:rsid w:val="00A02268"/>
    <w:rsid w:val="00A03FAB"/>
    <w:rsid w:val="00A04C1E"/>
    <w:rsid w:val="00A04DE5"/>
    <w:rsid w:val="00A06733"/>
    <w:rsid w:val="00A07237"/>
    <w:rsid w:val="00A13061"/>
    <w:rsid w:val="00A15839"/>
    <w:rsid w:val="00A15AC6"/>
    <w:rsid w:val="00A15CC2"/>
    <w:rsid w:val="00A16BEB"/>
    <w:rsid w:val="00A16ED6"/>
    <w:rsid w:val="00A17F3E"/>
    <w:rsid w:val="00A2119E"/>
    <w:rsid w:val="00A23960"/>
    <w:rsid w:val="00A245A4"/>
    <w:rsid w:val="00A27373"/>
    <w:rsid w:val="00A27AAC"/>
    <w:rsid w:val="00A32C4A"/>
    <w:rsid w:val="00A360AB"/>
    <w:rsid w:val="00A3782D"/>
    <w:rsid w:val="00A41610"/>
    <w:rsid w:val="00A41D6F"/>
    <w:rsid w:val="00A4256B"/>
    <w:rsid w:val="00A42DDF"/>
    <w:rsid w:val="00A47D4D"/>
    <w:rsid w:val="00A50634"/>
    <w:rsid w:val="00A52411"/>
    <w:rsid w:val="00A53C4A"/>
    <w:rsid w:val="00A553F1"/>
    <w:rsid w:val="00A56D59"/>
    <w:rsid w:val="00A576B5"/>
    <w:rsid w:val="00A7319F"/>
    <w:rsid w:val="00A74C5F"/>
    <w:rsid w:val="00A8063E"/>
    <w:rsid w:val="00A837E5"/>
    <w:rsid w:val="00A83DCD"/>
    <w:rsid w:val="00A8616B"/>
    <w:rsid w:val="00A87B43"/>
    <w:rsid w:val="00A934E2"/>
    <w:rsid w:val="00A93F31"/>
    <w:rsid w:val="00A96516"/>
    <w:rsid w:val="00A967BB"/>
    <w:rsid w:val="00AA1858"/>
    <w:rsid w:val="00AB2B6B"/>
    <w:rsid w:val="00AB34EB"/>
    <w:rsid w:val="00AB3767"/>
    <w:rsid w:val="00AB4FD8"/>
    <w:rsid w:val="00AB7678"/>
    <w:rsid w:val="00AC2250"/>
    <w:rsid w:val="00AC288F"/>
    <w:rsid w:val="00AC3CEF"/>
    <w:rsid w:val="00AC6360"/>
    <w:rsid w:val="00AD1A67"/>
    <w:rsid w:val="00AD1BC9"/>
    <w:rsid w:val="00AD295E"/>
    <w:rsid w:val="00AD599F"/>
    <w:rsid w:val="00AE26B5"/>
    <w:rsid w:val="00AE33A9"/>
    <w:rsid w:val="00AE6FC4"/>
    <w:rsid w:val="00AF093A"/>
    <w:rsid w:val="00AF2E82"/>
    <w:rsid w:val="00AF538A"/>
    <w:rsid w:val="00AF6781"/>
    <w:rsid w:val="00B001D2"/>
    <w:rsid w:val="00B04B20"/>
    <w:rsid w:val="00B05BB5"/>
    <w:rsid w:val="00B05BD1"/>
    <w:rsid w:val="00B065B9"/>
    <w:rsid w:val="00B101A2"/>
    <w:rsid w:val="00B10FF3"/>
    <w:rsid w:val="00B11B57"/>
    <w:rsid w:val="00B14E7F"/>
    <w:rsid w:val="00B1750F"/>
    <w:rsid w:val="00B20413"/>
    <w:rsid w:val="00B24EF6"/>
    <w:rsid w:val="00B24F92"/>
    <w:rsid w:val="00B26F11"/>
    <w:rsid w:val="00B3009B"/>
    <w:rsid w:val="00B33A18"/>
    <w:rsid w:val="00B3407C"/>
    <w:rsid w:val="00B34211"/>
    <w:rsid w:val="00B404D3"/>
    <w:rsid w:val="00B52B4E"/>
    <w:rsid w:val="00B536D4"/>
    <w:rsid w:val="00B541B2"/>
    <w:rsid w:val="00B57590"/>
    <w:rsid w:val="00B60419"/>
    <w:rsid w:val="00B648CB"/>
    <w:rsid w:val="00B64B61"/>
    <w:rsid w:val="00B6562D"/>
    <w:rsid w:val="00B66BC3"/>
    <w:rsid w:val="00B66FC1"/>
    <w:rsid w:val="00B7117C"/>
    <w:rsid w:val="00B72639"/>
    <w:rsid w:val="00B729AA"/>
    <w:rsid w:val="00B73845"/>
    <w:rsid w:val="00B73BA5"/>
    <w:rsid w:val="00B75929"/>
    <w:rsid w:val="00B75B38"/>
    <w:rsid w:val="00B81F5D"/>
    <w:rsid w:val="00B8240E"/>
    <w:rsid w:val="00B840E7"/>
    <w:rsid w:val="00B85986"/>
    <w:rsid w:val="00B8610F"/>
    <w:rsid w:val="00B91B9B"/>
    <w:rsid w:val="00B94F2F"/>
    <w:rsid w:val="00B95F5B"/>
    <w:rsid w:val="00BA1F7A"/>
    <w:rsid w:val="00BA2F3C"/>
    <w:rsid w:val="00BA5193"/>
    <w:rsid w:val="00BA76A9"/>
    <w:rsid w:val="00BB7386"/>
    <w:rsid w:val="00BB7907"/>
    <w:rsid w:val="00BC1D05"/>
    <w:rsid w:val="00BC2939"/>
    <w:rsid w:val="00BC2FBD"/>
    <w:rsid w:val="00BC40DE"/>
    <w:rsid w:val="00BD0298"/>
    <w:rsid w:val="00BD1090"/>
    <w:rsid w:val="00BD4E99"/>
    <w:rsid w:val="00BE236D"/>
    <w:rsid w:val="00BE32BC"/>
    <w:rsid w:val="00BE428D"/>
    <w:rsid w:val="00BE45B8"/>
    <w:rsid w:val="00BF5828"/>
    <w:rsid w:val="00C02CA0"/>
    <w:rsid w:val="00C04B51"/>
    <w:rsid w:val="00C05A0A"/>
    <w:rsid w:val="00C116C4"/>
    <w:rsid w:val="00C1218D"/>
    <w:rsid w:val="00C12436"/>
    <w:rsid w:val="00C12D2E"/>
    <w:rsid w:val="00C144BF"/>
    <w:rsid w:val="00C146C9"/>
    <w:rsid w:val="00C16894"/>
    <w:rsid w:val="00C17AD6"/>
    <w:rsid w:val="00C272E6"/>
    <w:rsid w:val="00C3705A"/>
    <w:rsid w:val="00C4223B"/>
    <w:rsid w:val="00C440E7"/>
    <w:rsid w:val="00C472A5"/>
    <w:rsid w:val="00C47DEF"/>
    <w:rsid w:val="00C50993"/>
    <w:rsid w:val="00C52CAC"/>
    <w:rsid w:val="00C534DA"/>
    <w:rsid w:val="00C61E97"/>
    <w:rsid w:val="00C63113"/>
    <w:rsid w:val="00C63407"/>
    <w:rsid w:val="00C64AF5"/>
    <w:rsid w:val="00C65612"/>
    <w:rsid w:val="00C702E2"/>
    <w:rsid w:val="00C70D75"/>
    <w:rsid w:val="00C71145"/>
    <w:rsid w:val="00C74EF5"/>
    <w:rsid w:val="00C75426"/>
    <w:rsid w:val="00C76C60"/>
    <w:rsid w:val="00C770CE"/>
    <w:rsid w:val="00C80D39"/>
    <w:rsid w:val="00C81F8D"/>
    <w:rsid w:val="00C84EE9"/>
    <w:rsid w:val="00C8730D"/>
    <w:rsid w:val="00C87DB2"/>
    <w:rsid w:val="00C90278"/>
    <w:rsid w:val="00C91DD4"/>
    <w:rsid w:val="00C950CA"/>
    <w:rsid w:val="00C954DB"/>
    <w:rsid w:val="00C96554"/>
    <w:rsid w:val="00C97EB6"/>
    <w:rsid w:val="00CA3A4E"/>
    <w:rsid w:val="00CA4EDC"/>
    <w:rsid w:val="00CA648D"/>
    <w:rsid w:val="00CA69B1"/>
    <w:rsid w:val="00CA7A2B"/>
    <w:rsid w:val="00CB21A6"/>
    <w:rsid w:val="00CB2970"/>
    <w:rsid w:val="00CB4EA6"/>
    <w:rsid w:val="00CB539A"/>
    <w:rsid w:val="00CB5CFF"/>
    <w:rsid w:val="00CC262B"/>
    <w:rsid w:val="00CC5777"/>
    <w:rsid w:val="00CD0953"/>
    <w:rsid w:val="00CD0E61"/>
    <w:rsid w:val="00CD4DEE"/>
    <w:rsid w:val="00CD6B47"/>
    <w:rsid w:val="00CD7F24"/>
    <w:rsid w:val="00CE100F"/>
    <w:rsid w:val="00CE615B"/>
    <w:rsid w:val="00CF0721"/>
    <w:rsid w:val="00CF526B"/>
    <w:rsid w:val="00CF58EE"/>
    <w:rsid w:val="00CF64B2"/>
    <w:rsid w:val="00D016BA"/>
    <w:rsid w:val="00D1207D"/>
    <w:rsid w:val="00D123B8"/>
    <w:rsid w:val="00D176F8"/>
    <w:rsid w:val="00D17CC2"/>
    <w:rsid w:val="00D21144"/>
    <w:rsid w:val="00D22010"/>
    <w:rsid w:val="00D2338E"/>
    <w:rsid w:val="00D31172"/>
    <w:rsid w:val="00D31B74"/>
    <w:rsid w:val="00D32155"/>
    <w:rsid w:val="00D326E2"/>
    <w:rsid w:val="00D44E17"/>
    <w:rsid w:val="00D50085"/>
    <w:rsid w:val="00D51251"/>
    <w:rsid w:val="00D5392B"/>
    <w:rsid w:val="00D54F38"/>
    <w:rsid w:val="00D6061C"/>
    <w:rsid w:val="00D60780"/>
    <w:rsid w:val="00D6115D"/>
    <w:rsid w:val="00D621A0"/>
    <w:rsid w:val="00D648C3"/>
    <w:rsid w:val="00D676FF"/>
    <w:rsid w:val="00D70F71"/>
    <w:rsid w:val="00D74689"/>
    <w:rsid w:val="00D76714"/>
    <w:rsid w:val="00D76A6B"/>
    <w:rsid w:val="00D831A7"/>
    <w:rsid w:val="00D84EFC"/>
    <w:rsid w:val="00D85011"/>
    <w:rsid w:val="00D8772D"/>
    <w:rsid w:val="00D9173D"/>
    <w:rsid w:val="00D91A61"/>
    <w:rsid w:val="00D920F1"/>
    <w:rsid w:val="00D92BE3"/>
    <w:rsid w:val="00D93C30"/>
    <w:rsid w:val="00D9485C"/>
    <w:rsid w:val="00D95826"/>
    <w:rsid w:val="00DA28F5"/>
    <w:rsid w:val="00DA3CA4"/>
    <w:rsid w:val="00DA5956"/>
    <w:rsid w:val="00DB397D"/>
    <w:rsid w:val="00DB6E52"/>
    <w:rsid w:val="00DB6F5A"/>
    <w:rsid w:val="00DB7818"/>
    <w:rsid w:val="00DC0C8C"/>
    <w:rsid w:val="00DC26E8"/>
    <w:rsid w:val="00DC2DD6"/>
    <w:rsid w:val="00DC3D12"/>
    <w:rsid w:val="00DD398F"/>
    <w:rsid w:val="00DD535E"/>
    <w:rsid w:val="00DD5CC2"/>
    <w:rsid w:val="00DD6A6D"/>
    <w:rsid w:val="00DD7127"/>
    <w:rsid w:val="00DD7F69"/>
    <w:rsid w:val="00DE0982"/>
    <w:rsid w:val="00DE49C7"/>
    <w:rsid w:val="00DE5F7F"/>
    <w:rsid w:val="00DE6D90"/>
    <w:rsid w:val="00DF0309"/>
    <w:rsid w:val="00DF4DF1"/>
    <w:rsid w:val="00DF5C60"/>
    <w:rsid w:val="00DF63B0"/>
    <w:rsid w:val="00DF7B01"/>
    <w:rsid w:val="00E028C5"/>
    <w:rsid w:val="00E05022"/>
    <w:rsid w:val="00E11CB2"/>
    <w:rsid w:val="00E125AC"/>
    <w:rsid w:val="00E12E06"/>
    <w:rsid w:val="00E17792"/>
    <w:rsid w:val="00E22562"/>
    <w:rsid w:val="00E23BF9"/>
    <w:rsid w:val="00E25889"/>
    <w:rsid w:val="00E41318"/>
    <w:rsid w:val="00E42368"/>
    <w:rsid w:val="00E43785"/>
    <w:rsid w:val="00E44E23"/>
    <w:rsid w:val="00E50218"/>
    <w:rsid w:val="00E5091A"/>
    <w:rsid w:val="00E51023"/>
    <w:rsid w:val="00E51C69"/>
    <w:rsid w:val="00E5283D"/>
    <w:rsid w:val="00E529C0"/>
    <w:rsid w:val="00E54497"/>
    <w:rsid w:val="00E54E8E"/>
    <w:rsid w:val="00E62114"/>
    <w:rsid w:val="00E63593"/>
    <w:rsid w:val="00E63728"/>
    <w:rsid w:val="00E64824"/>
    <w:rsid w:val="00E658FE"/>
    <w:rsid w:val="00E716D2"/>
    <w:rsid w:val="00E72FBB"/>
    <w:rsid w:val="00E77DB8"/>
    <w:rsid w:val="00E81D0F"/>
    <w:rsid w:val="00E82D45"/>
    <w:rsid w:val="00E8562D"/>
    <w:rsid w:val="00E872FC"/>
    <w:rsid w:val="00E874B8"/>
    <w:rsid w:val="00E91DC7"/>
    <w:rsid w:val="00E959A1"/>
    <w:rsid w:val="00E97848"/>
    <w:rsid w:val="00EA4B9D"/>
    <w:rsid w:val="00EA5211"/>
    <w:rsid w:val="00EA67A0"/>
    <w:rsid w:val="00EB73DA"/>
    <w:rsid w:val="00EB79C5"/>
    <w:rsid w:val="00EC1B48"/>
    <w:rsid w:val="00EC5112"/>
    <w:rsid w:val="00EC60AA"/>
    <w:rsid w:val="00EC735B"/>
    <w:rsid w:val="00EC7FF2"/>
    <w:rsid w:val="00ED3781"/>
    <w:rsid w:val="00EE017F"/>
    <w:rsid w:val="00EE15DB"/>
    <w:rsid w:val="00EE25F9"/>
    <w:rsid w:val="00EE3F9E"/>
    <w:rsid w:val="00F031EC"/>
    <w:rsid w:val="00F04FD3"/>
    <w:rsid w:val="00F051B0"/>
    <w:rsid w:val="00F05E44"/>
    <w:rsid w:val="00F06E4B"/>
    <w:rsid w:val="00F07055"/>
    <w:rsid w:val="00F072A5"/>
    <w:rsid w:val="00F114D2"/>
    <w:rsid w:val="00F1388B"/>
    <w:rsid w:val="00F13B4E"/>
    <w:rsid w:val="00F14D4D"/>
    <w:rsid w:val="00F14FAA"/>
    <w:rsid w:val="00F15057"/>
    <w:rsid w:val="00F16BBD"/>
    <w:rsid w:val="00F17259"/>
    <w:rsid w:val="00F2060E"/>
    <w:rsid w:val="00F22120"/>
    <w:rsid w:val="00F23FEA"/>
    <w:rsid w:val="00F26F85"/>
    <w:rsid w:val="00F27C30"/>
    <w:rsid w:val="00F30F8C"/>
    <w:rsid w:val="00F3200D"/>
    <w:rsid w:val="00F32B42"/>
    <w:rsid w:val="00F33990"/>
    <w:rsid w:val="00F3400A"/>
    <w:rsid w:val="00F341E9"/>
    <w:rsid w:val="00F37F2A"/>
    <w:rsid w:val="00F409B5"/>
    <w:rsid w:val="00F45A5C"/>
    <w:rsid w:val="00F46475"/>
    <w:rsid w:val="00F515DF"/>
    <w:rsid w:val="00F57EE5"/>
    <w:rsid w:val="00F70190"/>
    <w:rsid w:val="00F74347"/>
    <w:rsid w:val="00F7515B"/>
    <w:rsid w:val="00F76EE4"/>
    <w:rsid w:val="00F84F53"/>
    <w:rsid w:val="00F86010"/>
    <w:rsid w:val="00F87F8E"/>
    <w:rsid w:val="00F90C38"/>
    <w:rsid w:val="00F95E27"/>
    <w:rsid w:val="00FA0445"/>
    <w:rsid w:val="00FA04BD"/>
    <w:rsid w:val="00FA6F45"/>
    <w:rsid w:val="00FB257F"/>
    <w:rsid w:val="00FB2794"/>
    <w:rsid w:val="00FB3394"/>
    <w:rsid w:val="00FB4A8C"/>
    <w:rsid w:val="00FC0E32"/>
    <w:rsid w:val="00FC110D"/>
    <w:rsid w:val="00FC7D3C"/>
    <w:rsid w:val="00FD1278"/>
    <w:rsid w:val="00FD36EE"/>
    <w:rsid w:val="00FD5ADD"/>
    <w:rsid w:val="00FD679C"/>
    <w:rsid w:val="00FD720F"/>
    <w:rsid w:val="00FD772A"/>
    <w:rsid w:val="00FD7C60"/>
    <w:rsid w:val="00FE1454"/>
    <w:rsid w:val="00FE3415"/>
    <w:rsid w:val="00FE5ED4"/>
    <w:rsid w:val="00FF0143"/>
    <w:rsid w:val="00FF0167"/>
    <w:rsid w:val="00FF03AB"/>
    <w:rsid w:val="00FF05F1"/>
    <w:rsid w:val="00FF0D9F"/>
    <w:rsid w:val="00FF2170"/>
    <w:rsid w:val="00FF61BC"/>
    <w:rsid w:val="00FF6B6A"/>
    <w:rsid w:val="00FF7860"/>
    <w:rsid w:val="7F096E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5">
    <w:name w:val="page number"/>
    <w:basedOn w:val="3"/>
    <w:uiPriority w:val="0"/>
  </w:style>
  <w:style w:type="character" w:styleId="6">
    <w:name w:val="Strong"/>
    <w:qFormat/>
    <w:uiPriority w:val="22"/>
    <w:rPr>
      <w:b/>
      <w:bCs/>
    </w:rPr>
  </w:style>
  <w:style w:type="paragraph" w:styleId="7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/>
      <w:sz w:val="16"/>
      <w:szCs w:val="16"/>
    </w:rPr>
  </w:style>
  <w:style w:type="paragraph" w:styleId="8">
    <w:name w:val="header"/>
    <w:basedOn w:val="1"/>
    <w:link w:val="12"/>
    <w:unhideWhenUsed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uiPriority w:val="0"/>
    <w:pPr>
      <w:tabs>
        <w:tab w:val="center" w:pos="4677"/>
        <w:tab w:val="right" w:pos="9355"/>
      </w:tabs>
    </w:pPr>
  </w:style>
  <w:style w:type="table" w:styleId="10">
    <w:name w:val="Table Grid"/>
    <w:basedOn w:val="4"/>
    <w:uiPriority w:val="0"/>
    <w:pPr>
      <w:spacing w:after="200" w:line="276" w:lineRule="auto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Текст выноски Знак"/>
    <w:link w:val="7"/>
    <w:semiHidden/>
    <w:uiPriority w:val="99"/>
    <w:rPr>
      <w:rFonts w:ascii="Tahoma" w:hAnsi="Tahoma" w:cs="Tahoma"/>
      <w:sz w:val="16"/>
      <w:szCs w:val="16"/>
      <w:lang w:eastAsia="en-US"/>
    </w:rPr>
  </w:style>
  <w:style w:type="character" w:customStyle="1" w:styleId="12">
    <w:name w:val="Верхний колонтитул Знак"/>
    <w:link w:val="8"/>
    <w:uiPriority w:val="99"/>
    <w:rPr>
      <w:sz w:val="22"/>
      <w:szCs w:val="22"/>
      <w:lang w:eastAsia="en-US"/>
    </w:rPr>
  </w:style>
  <w:style w:type="character" w:customStyle="1" w:styleId="13">
    <w:name w:val="Заголовок 2 Знак"/>
    <w:link w:val="2"/>
    <w:uiPriority w:val="9"/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7</Pages>
  <Words>2237</Words>
  <Characters>12755</Characters>
  <Lines>106</Lines>
  <Paragraphs>29</Paragraphs>
  <TotalTime>0</TotalTime>
  <ScaleCrop>false</ScaleCrop>
  <LinksUpToDate>false</LinksUpToDate>
  <CharactersWithSpaces>14963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2016-06-09T14:35:00Z</dcterms:created>
  <dc:creator>Пользователь</dc:creator>
  <cp:lastModifiedBy>Admin</cp:lastModifiedBy>
  <cp:lastPrinted>2026-07-31T14:31:00Z</cp:lastPrinted>
  <dcterms:modified xsi:type="dcterms:W3CDTF">2026-08-05T06:05:59Z</dcterms:modified>
  <dc:title>ЗАКЛЮЧЕНИЕ</dc:title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D06C00D9B35D48C2AF44968A724F6D9C_13</vt:lpwstr>
  </property>
</Properties>
</file>