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BB" w:rsidRPr="00181BBB" w:rsidRDefault="00181BBB" w:rsidP="00181BB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BBB"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181BBB" w:rsidRPr="00181BBB" w:rsidRDefault="00181BBB" w:rsidP="00181BB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BBB">
        <w:rPr>
          <w:rFonts w:ascii="Times New Roman" w:eastAsia="Calibri" w:hAnsi="Times New Roman" w:cs="Times New Roman"/>
          <w:sz w:val="28"/>
          <w:szCs w:val="28"/>
        </w:rPr>
        <w:t>БРЯНСКАЯ ОБЛАСТЬ</w:t>
      </w:r>
    </w:p>
    <w:p w:rsidR="00181BBB" w:rsidRPr="00181BBB" w:rsidRDefault="00181BBB" w:rsidP="00181BB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1BBB">
        <w:rPr>
          <w:rFonts w:ascii="Times New Roman" w:eastAsia="Calibri" w:hAnsi="Times New Roman" w:cs="Times New Roman"/>
          <w:sz w:val="28"/>
          <w:szCs w:val="28"/>
        </w:rPr>
        <w:t>МГЛИНСКИЙ РАЙОН</w:t>
      </w:r>
    </w:p>
    <w:p w:rsidR="00181BBB" w:rsidRPr="00181BBB" w:rsidRDefault="00181BBB" w:rsidP="00181B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81BBB">
        <w:rPr>
          <w:rFonts w:ascii="Times New Roman" w:eastAsia="Calibri" w:hAnsi="Times New Roman" w:cs="Times New Roman"/>
          <w:sz w:val="28"/>
          <w:szCs w:val="28"/>
        </w:rPr>
        <w:t xml:space="preserve">                         ВЕТЛЕВСКАЯ СЕЛЬСКАЯ АДМИНИСТРАЦИЯ</w:t>
      </w:r>
    </w:p>
    <w:p w:rsidR="00181BBB" w:rsidRPr="00181BBB" w:rsidRDefault="00181BBB" w:rsidP="00181B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1BBB" w:rsidRPr="00181BBB" w:rsidRDefault="00181BBB" w:rsidP="00181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1BBB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181BBB" w:rsidRPr="00181BBB" w:rsidRDefault="00181BBB" w:rsidP="00181BBB">
      <w:pPr>
        <w:spacing w:after="160" w:line="259" w:lineRule="auto"/>
        <w:ind w:firstLine="142"/>
        <w:jc w:val="center"/>
        <w:rPr>
          <w:rFonts w:ascii="Times New Roman" w:eastAsia="Calibri" w:hAnsi="Times New Roman" w:cs="Times New Roman"/>
          <w:sz w:val="28"/>
        </w:rPr>
      </w:pPr>
    </w:p>
    <w:p w:rsidR="00181BBB" w:rsidRPr="00181BBB" w:rsidRDefault="00181BBB" w:rsidP="00181BBB">
      <w:pPr>
        <w:spacing w:after="160" w:line="259" w:lineRule="auto"/>
        <w:ind w:firstLine="142"/>
        <w:jc w:val="both"/>
        <w:rPr>
          <w:rFonts w:ascii="Times New Roman" w:eastAsia="Calibri" w:hAnsi="Times New Roman" w:cs="Times New Roman"/>
          <w:sz w:val="28"/>
        </w:rPr>
      </w:pPr>
      <w:r w:rsidRPr="00181BBB">
        <w:rPr>
          <w:rFonts w:ascii="Times New Roman" w:eastAsia="Calibri" w:hAnsi="Times New Roman" w:cs="Times New Roman"/>
          <w:sz w:val="28"/>
        </w:rPr>
        <w:t xml:space="preserve"> «01» апреля 2026 года  № 21</w:t>
      </w:r>
    </w:p>
    <w:p w:rsidR="00181BBB" w:rsidRPr="00181BBB" w:rsidRDefault="00181BBB" w:rsidP="00181B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1BBB">
        <w:rPr>
          <w:rFonts w:ascii="Times New Roman" w:eastAsia="Calibri" w:hAnsi="Times New Roman" w:cs="Times New Roman"/>
          <w:sz w:val="24"/>
          <w:szCs w:val="24"/>
        </w:rPr>
        <w:t xml:space="preserve">О порядке учета бюджетных и </w:t>
      </w:r>
    </w:p>
    <w:p w:rsidR="00181BBB" w:rsidRPr="00181BBB" w:rsidRDefault="00181BBB" w:rsidP="00181B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денежных обязательств получателей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 xml:space="preserve">средств бюджета Ветлевского сельского 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поселения Мглинского  муниципального района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 xml:space="preserve"> Брянской области, лицевые счета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 xml:space="preserve">которые открыты в Управлении  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Федерального казначейства по Брянской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области</w:t>
      </w:r>
    </w:p>
    <w:p w:rsidR="00181BBB" w:rsidRPr="00181BBB" w:rsidRDefault="00181BBB" w:rsidP="00181B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1BBB" w:rsidRPr="00181BBB" w:rsidRDefault="00181BBB" w:rsidP="00181B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В соответствии со статьей 219 Бюджетного кодекса Российской федерации</w:t>
      </w:r>
    </w:p>
    <w:p w:rsidR="00181BBB" w:rsidRPr="00181BBB" w:rsidRDefault="00181BBB" w:rsidP="00181B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ПОСТАНОВЛЯЮ</w:t>
      </w:r>
      <w:r w:rsidRPr="00181BB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181BBB" w:rsidRPr="00181BBB" w:rsidRDefault="00181BBB" w:rsidP="00181BB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Признать утратившими силу: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 xml:space="preserve">            - постановление Ветлевской сельской администрации от 18 января 2022 года №2  «Об утверждении  Порядка учета бюджетных и денежных обязательств получателей средств бюджета Ветлевского сельского поселения Мглинского муниципального района Брянской области Управлением Федерального казначейства по Брянской области»;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 xml:space="preserve">            - постановление Ветлевской сельской администрации от 08 сентября 2022 года №51 «О внесении изменений в Порядок  учета бюджетных и денежных обязательств получателей средств бюджета Ветлевского сельского  поселения Мглинского муниципального района Брянской области, утвержденный  постановлением Ветлевской сельской администрацией от 18 января 2022 года №2»;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 xml:space="preserve">            - постановление Ветлевской сельской администрации от 09 января 2024 года №2 «О внесении изменений в Порядок учета бюджетных и денежных обязательств получателей средств бюджета Ветлевского сельского поселения Мглинского муниципального района Брянской области».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 xml:space="preserve">            2. Утвердить 01.04.2026 года прилагаемый Порядок учета бюджетных и 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денежных обязательств получателей средств бюджета Ветлевского сельского поселения Мглинского муниципального района Брянской области, лицевые счета которые открыты в Управлении Федерального казначейства по Брянской области.</w:t>
      </w:r>
    </w:p>
    <w:p w:rsidR="00181BBB" w:rsidRPr="00181BBB" w:rsidRDefault="00181BBB" w:rsidP="00181B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 xml:space="preserve">            3. Разместить настоящее постановление на официальном сайте администрации Мглинского района в сети Интернет.   </w:t>
      </w:r>
    </w:p>
    <w:p w:rsidR="00181BBB" w:rsidRPr="00181BBB" w:rsidRDefault="00181BBB" w:rsidP="00181B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4. Контроль исполнения настоящего постановления оставляю за собой.</w:t>
      </w:r>
    </w:p>
    <w:p w:rsidR="00181BBB" w:rsidRPr="00181BBB" w:rsidRDefault="00181BBB" w:rsidP="00181BB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1BBB" w:rsidRPr="00181BBB" w:rsidRDefault="00181BBB" w:rsidP="00181B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81BBB">
        <w:rPr>
          <w:rFonts w:ascii="Times New Roman" w:eastAsia="Calibri" w:hAnsi="Times New Roman" w:cs="Times New Roman"/>
          <w:sz w:val="24"/>
          <w:szCs w:val="24"/>
        </w:rPr>
        <w:t>Глава  Ветлевской сельской администрации                                       В.И. Груздов</w:t>
      </w:r>
    </w:p>
    <w:p w:rsidR="00181BBB" w:rsidRDefault="00372AD8" w:rsidP="00181BBB">
      <w:pPr>
        <w:pStyle w:val="ConsPlusTitle"/>
        <w:rPr>
          <w:rFonts w:eastAsia="Times New Roman"/>
          <w:b w:val="0"/>
          <w:sz w:val="26"/>
          <w:szCs w:val="26"/>
        </w:rPr>
      </w:pPr>
      <w:r>
        <w:rPr>
          <w:rFonts w:eastAsia="Times New Roman"/>
          <w:b w:val="0"/>
          <w:sz w:val="26"/>
          <w:szCs w:val="26"/>
        </w:rPr>
        <w:lastRenderedPageBreak/>
        <w:t xml:space="preserve">                                                     </w:t>
      </w:r>
      <w:r w:rsidR="00181BBB">
        <w:rPr>
          <w:rFonts w:eastAsia="Times New Roman"/>
          <w:b w:val="0"/>
          <w:sz w:val="26"/>
          <w:szCs w:val="26"/>
        </w:rPr>
        <w:t xml:space="preserve">                              </w:t>
      </w:r>
    </w:p>
    <w:p w:rsidR="00181BBB" w:rsidRDefault="00181BBB">
      <w:pPr>
        <w:pStyle w:val="ConsPlusTitle"/>
        <w:jc w:val="right"/>
        <w:rPr>
          <w:rFonts w:eastAsia="Times New Roman"/>
          <w:b w:val="0"/>
          <w:sz w:val="26"/>
          <w:szCs w:val="26"/>
        </w:rPr>
      </w:pPr>
    </w:p>
    <w:p w:rsidR="00181BBB" w:rsidRDefault="00181BBB">
      <w:pPr>
        <w:pStyle w:val="ConsPlusTitle"/>
        <w:jc w:val="right"/>
        <w:rPr>
          <w:rFonts w:eastAsia="Times New Roman"/>
          <w:b w:val="0"/>
          <w:sz w:val="26"/>
          <w:szCs w:val="26"/>
        </w:rPr>
      </w:pPr>
    </w:p>
    <w:p w:rsidR="00181BBB" w:rsidRDefault="00181BBB">
      <w:pPr>
        <w:pStyle w:val="ConsPlusTitle"/>
        <w:jc w:val="right"/>
        <w:rPr>
          <w:rFonts w:eastAsia="Times New Roman"/>
          <w:b w:val="0"/>
          <w:sz w:val="26"/>
          <w:szCs w:val="26"/>
        </w:rPr>
      </w:pPr>
    </w:p>
    <w:p w:rsidR="00181BBB" w:rsidRDefault="00181BBB">
      <w:pPr>
        <w:pStyle w:val="ConsPlusTitle"/>
        <w:jc w:val="right"/>
        <w:rPr>
          <w:rFonts w:eastAsia="Times New Roman"/>
          <w:b w:val="0"/>
          <w:sz w:val="26"/>
          <w:szCs w:val="26"/>
        </w:rPr>
      </w:pPr>
    </w:p>
    <w:p w:rsidR="00181BBB" w:rsidRPr="00181BBB" w:rsidRDefault="00181BBB">
      <w:pPr>
        <w:pStyle w:val="ConsPlusTitle"/>
        <w:jc w:val="right"/>
        <w:rPr>
          <w:rFonts w:eastAsia="Times New Roman"/>
          <w:b w:val="0"/>
          <w:szCs w:val="24"/>
        </w:rPr>
      </w:pPr>
    </w:p>
    <w:p w:rsidR="00952A92" w:rsidRPr="00181BBB" w:rsidRDefault="00372AD8">
      <w:pPr>
        <w:pStyle w:val="ConsPlusTitle"/>
        <w:jc w:val="right"/>
        <w:rPr>
          <w:szCs w:val="24"/>
        </w:rPr>
      </w:pPr>
      <w:r w:rsidRPr="00181BBB">
        <w:rPr>
          <w:rFonts w:eastAsia="Times New Roman"/>
          <w:b w:val="0"/>
          <w:szCs w:val="24"/>
        </w:rPr>
        <w:t xml:space="preserve">              </w:t>
      </w:r>
      <w:r w:rsidRPr="00181BBB">
        <w:rPr>
          <w:b w:val="0"/>
          <w:szCs w:val="24"/>
        </w:rPr>
        <w:t xml:space="preserve">Утвержден                          </w:t>
      </w:r>
    </w:p>
    <w:p w:rsidR="00952A92" w:rsidRPr="00181BBB" w:rsidRDefault="00372AD8">
      <w:pPr>
        <w:pStyle w:val="ConsPlusTitle"/>
        <w:jc w:val="right"/>
        <w:rPr>
          <w:szCs w:val="24"/>
        </w:rPr>
      </w:pPr>
      <w:r w:rsidRPr="00181BBB">
        <w:rPr>
          <w:rFonts w:eastAsia="Times New Roman"/>
          <w:b w:val="0"/>
          <w:szCs w:val="24"/>
        </w:rPr>
        <w:t xml:space="preserve">                                                                                    </w:t>
      </w:r>
      <w:r w:rsidRPr="00181BBB">
        <w:rPr>
          <w:b w:val="0"/>
          <w:szCs w:val="24"/>
        </w:rPr>
        <w:t xml:space="preserve">Постановлением </w:t>
      </w:r>
      <w:r w:rsidR="00426D29" w:rsidRPr="00181BBB">
        <w:rPr>
          <w:b w:val="0"/>
          <w:szCs w:val="24"/>
        </w:rPr>
        <w:t>Ветлевс</w:t>
      </w:r>
      <w:r w:rsidRPr="00181BBB">
        <w:rPr>
          <w:b w:val="0"/>
          <w:szCs w:val="24"/>
        </w:rPr>
        <w:t xml:space="preserve">кой сельской администрации </w:t>
      </w:r>
    </w:p>
    <w:p w:rsidR="00952A92" w:rsidRPr="00181BBB" w:rsidRDefault="00426D29">
      <w:pPr>
        <w:pStyle w:val="ConsPlusTitle"/>
        <w:tabs>
          <w:tab w:val="left" w:pos="6330"/>
          <w:tab w:val="right" w:pos="9870"/>
        </w:tabs>
        <w:ind w:firstLineChars="2150" w:firstLine="5160"/>
        <w:rPr>
          <w:szCs w:val="24"/>
        </w:rPr>
      </w:pPr>
      <w:r w:rsidRPr="00181BBB">
        <w:rPr>
          <w:b w:val="0"/>
          <w:szCs w:val="24"/>
        </w:rPr>
        <w:t>от 01 апреля 2026 г.№ 21</w:t>
      </w:r>
    </w:p>
    <w:p w:rsidR="00952A92" w:rsidRPr="00181BBB" w:rsidRDefault="00952A92">
      <w:pPr>
        <w:pStyle w:val="ConsPlusTitle"/>
        <w:jc w:val="center"/>
        <w:rPr>
          <w:b w:val="0"/>
          <w:color w:val="FF0000"/>
          <w:szCs w:val="24"/>
        </w:rPr>
      </w:pPr>
    </w:p>
    <w:p w:rsidR="00952A92" w:rsidRPr="00181BBB" w:rsidRDefault="00372AD8">
      <w:pPr>
        <w:pStyle w:val="ConsPlusTitle"/>
        <w:jc w:val="center"/>
        <w:rPr>
          <w:szCs w:val="24"/>
        </w:rPr>
      </w:pPr>
      <w:r w:rsidRPr="00181BBB">
        <w:rPr>
          <w:b w:val="0"/>
          <w:szCs w:val="24"/>
        </w:rPr>
        <w:t>ПОРЯДОК</w:t>
      </w:r>
    </w:p>
    <w:p w:rsidR="00952A92" w:rsidRPr="00181BBB" w:rsidRDefault="00372AD8">
      <w:pPr>
        <w:pStyle w:val="ConsPlusNormal"/>
        <w:jc w:val="center"/>
        <w:rPr>
          <w:szCs w:val="24"/>
        </w:rPr>
      </w:pPr>
      <w:r w:rsidRPr="00181BBB">
        <w:rPr>
          <w:szCs w:val="24"/>
        </w:rPr>
        <w:t xml:space="preserve">учета бюджетных и денежных обязательств получателей средств бюджета </w:t>
      </w:r>
      <w:r w:rsidR="00426D29" w:rsidRPr="00181BBB">
        <w:rPr>
          <w:szCs w:val="24"/>
        </w:rPr>
        <w:t>Ветлевс</w:t>
      </w:r>
      <w:r w:rsidRPr="00181BBB">
        <w:rPr>
          <w:szCs w:val="24"/>
        </w:rPr>
        <w:t xml:space="preserve">кого сельского поселения  Мглинского муниципального района Брянской области, лицевые счета которые открыты в </w:t>
      </w:r>
      <w:r w:rsidRPr="00181BBB">
        <w:rPr>
          <w:rFonts w:eastAsia="Times New Roman CYR"/>
          <w:bCs/>
          <w:szCs w:val="24"/>
        </w:rPr>
        <w:t>Управлении Федерального казначейства по Брянской области</w:t>
      </w:r>
    </w:p>
    <w:p w:rsidR="00952A92" w:rsidRPr="00181BBB" w:rsidRDefault="00952A92">
      <w:pPr>
        <w:pStyle w:val="ConsPlusNormal"/>
        <w:jc w:val="center"/>
        <w:rPr>
          <w:rFonts w:eastAsia="Times New Roman CYR"/>
          <w:bCs/>
          <w:szCs w:val="24"/>
        </w:rPr>
      </w:pPr>
    </w:p>
    <w:p w:rsidR="00952A92" w:rsidRPr="00181BBB" w:rsidRDefault="00372AD8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540"/>
        <w:jc w:val="both"/>
        <w:rPr>
          <w:szCs w:val="24"/>
        </w:rPr>
      </w:pPr>
      <w:r w:rsidRPr="00181BBB">
        <w:rPr>
          <w:szCs w:val="24"/>
        </w:rPr>
        <w:t xml:space="preserve">Настоящий документ устанавливает порядок исполнения бюджета </w:t>
      </w:r>
      <w:r w:rsidR="00426D29" w:rsidRPr="00181BBB">
        <w:rPr>
          <w:szCs w:val="24"/>
        </w:rPr>
        <w:t>Ветлевс</w:t>
      </w:r>
      <w:r w:rsidRPr="00181BBB">
        <w:rPr>
          <w:szCs w:val="24"/>
        </w:rPr>
        <w:t>кого сельского поселения  Мглинского муниципального района Брянской области (далее-бюджета) по расходам в части постановки на учет бюджетных и денежных обязательств получателей средств бюджета и внесения в них изменений территориальным органам Федерального казначейства (далее соответственно – орган Федерального казначейства бюджетные обязательства, денежные обязательства) в целях отражения указанных операций в пределах лимитов бюджетных обязательств на лицевых счетах получателей средств бюджета, открытых в установленном порядке в территориальном органе Федерального казначейства.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>2. Органы Федерального казначейства осуществляют постановку на учет бюджетные обязательства получателей средств бюджета в пределах доведенных лимитов бюджетных обязательств по соответствующим кодам бюджетной классификации Российской  Федерации и кодам дополнительной классификации в порядке, аналогичному порядку учета бюджетных и денежных обязательств федерального бюджета, установленному Министерством финансов Российской Федерации (далее – Порядок учета бюджетных и денежных обязательств, возникшие  из: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 xml:space="preserve"> - муниципальных контрактов на поставку товаров, выполнение работ, оказание услуг, сведения о которых подлежат включению в определенный законодательством о контрактной системе Российской Федерации  в сфере закупок товаров, работ и услуг для обеспечения государственных нужд реестр контрактов (делее – реестр контрактов)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>- договоров на поставку товаров, выполнение работ, оказание услуг, сведения о котором не подлежат включению в реестр контрактов или договора, заключенного в связи с предоставлением бюджетных инвестиций юридическому лицу в соответствии со статьей 80 Бюджетного кодекса Российской Федерации, кроме договоров гражданско-правового характера, заключаемых с физическими лицами на выполнение работ, оказание услуг;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>- договоров аренды;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>- соглашений о предоставлении субсидий бюджетному или автономному учреждению, иному юридическому лицу, или индивидуальному предпринимателю или физическому лицу – производителю товаров, работ, услуг (далее – субсидия юридическому лицу), заключенных в соответствии с бюджетным законодательством Российской Федерации;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 xml:space="preserve">- нормативно – правовых актов, предусматривающих предоставление субсидий </w:t>
      </w:r>
      <w:r w:rsidRPr="00181BBB">
        <w:rPr>
          <w:szCs w:val="24"/>
        </w:rPr>
        <w:lastRenderedPageBreak/>
        <w:t>юридическому лицу, если порядком (правилами) предоставления указанной субсидии не предусмотрено заключение соглашения;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>- исполнительных документов (исполнительных листов, судебных приказов);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>- решений налогового органа  о взыскании налогов, сборов, пеней и штрафов,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>3. Орган Федерального казначейства осуществляет контроль за не превышением указанного в Сведении о бюджетном обязательстве размера авансового платежа над предельным размером авансового платежа, установленным законом (постановлением Правительства Российской Федерации, постановлением Правительства Брянской области, постановлением администрации ).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 xml:space="preserve">4. Органом Федерального казначейства осуществляет поставку на учет денежных обязательств получателей средств бюджета по соответствующим кодам классификации Российской Федерации и кодам дополнительной классификации в порядке, аналогичном Порядку учета бюджетных и денежных обязательств, на основании документов, указанных а Порядке санкционирования оплаты денежных обязательств получателей средств бюджета, утвержденных </w:t>
      </w:r>
      <w:r w:rsidR="00426D29" w:rsidRPr="00181BBB">
        <w:rPr>
          <w:szCs w:val="24"/>
        </w:rPr>
        <w:t>Ветлевс</w:t>
      </w:r>
      <w:r w:rsidRPr="00181BBB">
        <w:rPr>
          <w:szCs w:val="24"/>
        </w:rPr>
        <w:t>кой сельской администрацией.</w:t>
      </w:r>
    </w:p>
    <w:p w:rsidR="00952A92" w:rsidRPr="00181BBB" w:rsidRDefault="00372AD8">
      <w:pPr>
        <w:pStyle w:val="ConsPlusNormal"/>
        <w:spacing w:before="240"/>
        <w:ind w:firstLine="540"/>
        <w:jc w:val="both"/>
        <w:rPr>
          <w:szCs w:val="24"/>
        </w:rPr>
      </w:pPr>
      <w:r w:rsidRPr="00181BBB">
        <w:rPr>
          <w:szCs w:val="24"/>
        </w:rPr>
        <w:t>5. Сведения о принимаемых и принятых бюджетных обязательствах, денежных обязательствах по контрактам, заключенных после 01.01.2024 года и подлежащим размещению в единой информационной системы в сфере закупок (далее- ГИС ЕИС) формируются с использованием ГИС ЕИС.</w:t>
      </w:r>
    </w:p>
    <w:p w:rsidR="00952A92" w:rsidRPr="00181BBB" w:rsidRDefault="00952A92">
      <w:pPr>
        <w:pStyle w:val="ConsPlusNormal"/>
        <w:ind w:firstLine="540"/>
        <w:jc w:val="both"/>
        <w:rPr>
          <w:szCs w:val="24"/>
        </w:rPr>
      </w:pPr>
    </w:p>
    <w:p w:rsidR="00952A92" w:rsidRPr="00181BBB" w:rsidRDefault="00952A92">
      <w:pPr>
        <w:pStyle w:val="ConsPlusNormal"/>
        <w:ind w:firstLine="540"/>
        <w:jc w:val="both"/>
        <w:rPr>
          <w:szCs w:val="24"/>
        </w:rPr>
      </w:pPr>
    </w:p>
    <w:p w:rsidR="00952A92" w:rsidRPr="00181BBB" w:rsidRDefault="00952A92">
      <w:pPr>
        <w:pStyle w:val="ConsPlusNormal"/>
        <w:ind w:firstLine="540"/>
        <w:jc w:val="both"/>
        <w:rPr>
          <w:szCs w:val="24"/>
        </w:rPr>
      </w:pPr>
    </w:p>
    <w:p w:rsidR="00952A92" w:rsidRPr="00181BBB" w:rsidRDefault="00952A92">
      <w:pPr>
        <w:pStyle w:val="ConsPlusNormal"/>
        <w:ind w:firstLine="540"/>
        <w:jc w:val="both"/>
        <w:rPr>
          <w:szCs w:val="24"/>
        </w:rPr>
      </w:pPr>
    </w:p>
    <w:p w:rsidR="00952A92" w:rsidRPr="00181BBB" w:rsidRDefault="00952A92">
      <w:pPr>
        <w:pStyle w:val="ConsPlusNormal"/>
        <w:ind w:firstLine="540"/>
        <w:jc w:val="both"/>
        <w:rPr>
          <w:szCs w:val="24"/>
        </w:rPr>
      </w:pPr>
    </w:p>
    <w:p w:rsidR="00952A92" w:rsidRDefault="00952A92">
      <w:pPr>
        <w:pStyle w:val="ConsPlusNormal"/>
        <w:ind w:firstLine="540"/>
        <w:jc w:val="both"/>
        <w:rPr>
          <w:sz w:val="28"/>
          <w:szCs w:val="28"/>
        </w:rPr>
      </w:pPr>
    </w:p>
    <w:p w:rsidR="00952A92" w:rsidRDefault="00952A92">
      <w:pPr>
        <w:pStyle w:val="ConsPlusNormal"/>
        <w:ind w:firstLine="540"/>
        <w:jc w:val="both"/>
        <w:rPr>
          <w:sz w:val="28"/>
          <w:szCs w:val="28"/>
        </w:rPr>
      </w:pPr>
    </w:p>
    <w:p w:rsidR="00952A92" w:rsidRDefault="00952A92">
      <w:pPr>
        <w:pStyle w:val="ConsPlusNormal"/>
        <w:ind w:firstLine="540"/>
        <w:jc w:val="both"/>
        <w:rPr>
          <w:sz w:val="28"/>
          <w:szCs w:val="28"/>
        </w:rPr>
      </w:pPr>
    </w:p>
    <w:p w:rsidR="00952A92" w:rsidRDefault="00952A92">
      <w:pPr>
        <w:pStyle w:val="ConsPlusNormal"/>
        <w:ind w:firstLine="540"/>
        <w:jc w:val="both"/>
        <w:rPr>
          <w:sz w:val="28"/>
          <w:szCs w:val="28"/>
        </w:rPr>
      </w:pPr>
    </w:p>
    <w:p w:rsidR="00952A92" w:rsidRDefault="00952A92">
      <w:pPr>
        <w:pStyle w:val="ConsPlusNormal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952A92" w:rsidRDefault="00952A92">
      <w:pPr>
        <w:pStyle w:val="ConsPlusNormal"/>
        <w:ind w:firstLine="540"/>
        <w:jc w:val="both"/>
        <w:rPr>
          <w:sz w:val="28"/>
          <w:szCs w:val="28"/>
        </w:rPr>
      </w:pPr>
    </w:p>
    <w:p w:rsidR="00952A92" w:rsidRDefault="00952A92"/>
    <w:sectPr w:rsidR="0095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EC" w:rsidRDefault="00531AEC">
      <w:pPr>
        <w:spacing w:line="240" w:lineRule="auto"/>
      </w:pPr>
      <w:r>
        <w:separator/>
      </w:r>
    </w:p>
  </w:endnote>
  <w:endnote w:type="continuationSeparator" w:id="0">
    <w:p w:rsidR="00531AEC" w:rsidRDefault="00531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EC" w:rsidRDefault="00531AEC">
      <w:pPr>
        <w:spacing w:after="0"/>
      </w:pPr>
      <w:r>
        <w:separator/>
      </w:r>
    </w:p>
  </w:footnote>
  <w:footnote w:type="continuationSeparator" w:id="0">
    <w:p w:rsidR="00531AEC" w:rsidRDefault="00531A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88" w:hanging="180"/>
      </w:pPr>
    </w:lvl>
  </w:abstractNum>
  <w:abstractNum w:abstractNumId="1" w15:restartNumberingAfterBreak="0">
    <w:nsid w:val="36174179"/>
    <w:multiLevelType w:val="multilevel"/>
    <w:tmpl w:val="3617417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C3"/>
    <w:rsid w:val="00181BBB"/>
    <w:rsid w:val="003324C3"/>
    <w:rsid w:val="00372AD8"/>
    <w:rsid w:val="004220F6"/>
    <w:rsid w:val="00426D29"/>
    <w:rsid w:val="00531AEC"/>
    <w:rsid w:val="00952A92"/>
    <w:rsid w:val="00B94219"/>
    <w:rsid w:val="00F978A9"/>
    <w:rsid w:val="580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87E"/>
  <w15:docId w15:val="{BA21A39F-B04F-4DA5-8475-89E2F22F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Times New Roman" w:eastAsia="SimSun" w:hAnsi="Times New Roman" w:cs="Times New Roman"/>
      <w:sz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Roman" w:eastAsia="SimSu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2026-04-02T08:55:00Z</dcterms:created>
  <dcterms:modified xsi:type="dcterms:W3CDTF">2026-04-02T11:55:00Z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A64AE40DAF0D45B2B571D344C9A4F606_12</vt:lpwstr>
  </property>
</Properties>
</file>