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44109">
      <w:pPr>
        <w:ind w:right="29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</w:t>
      </w:r>
    </w:p>
    <w:p w14:paraId="41F3D33F">
      <w:pPr>
        <w:ind w:right="29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Российская Федерация   </w:t>
      </w:r>
    </w:p>
    <w:p w14:paraId="3DF37FD0">
      <w:pPr>
        <w:ind w:right="299"/>
        <w:jc w:val="center"/>
        <w:rPr>
          <w:sz w:val="32"/>
          <w:szCs w:val="32"/>
        </w:rPr>
      </w:pPr>
      <w:r>
        <w:rPr>
          <w:sz w:val="32"/>
          <w:szCs w:val="32"/>
        </w:rPr>
        <w:t>Брянская область</w:t>
      </w:r>
    </w:p>
    <w:p w14:paraId="0A16ABF2">
      <w:pPr>
        <w:ind w:right="299"/>
        <w:jc w:val="center"/>
        <w:rPr>
          <w:sz w:val="32"/>
          <w:szCs w:val="32"/>
        </w:rPr>
      </w:pPr>
      <w:r>
        <w:rPr>
          <w:sz w:val="32"/>
          <w:szCs w:val="32"/>
        </w:rPr>
        <w:t>Мглинский район</w:t>
      </w:r>
    </w:p>
    <w:p w14:paraId="4DA98FEE">
      <w:pPr>
        <w:ind w:right="299"/>
        <w:jc w:val="center"/>
        <w:rPr>
          <w:sz w:val="32"/>
          <w:szCs w:val="32"/>
        </w:rPr>
      </w:pPr>
      <w:r>
        <w:rPr>
          <w:sz w:val="32"/>
          <w:szCs w:val="32"/>
        </w:rPr>
        <w:t>Краснокосаровское сельское поселение</w:t>
      </w:r>
    </w:p>
    <w:p w14:paraId="376038E0">
      <w:pPr>
        <w:ind w:right="29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Краснокосаровский сельский Совет народных депутатов </w:t>
      </w:r>
    </w:p>
    <w:p w14:paraId="12C2866E">
      <w:pPr>
        <w:ind w:right="299"/>
        <w:jc w:val="center"/>
        <w:rPr>
          <w:sz w:val="32"/>
          <w:szCs w:val="32"/>
        </w:rPr>
      </w:pPr>
    </w:p>
    <w:p w14:paraId="1D6DA3FF">
      <w:pPr>
        <w:ind w:right="299"/>
        <w:jc w:val="center"/>
        <w:rPr>
          <w:sz w:val="32"/>
          <w:szCs w:val="32"/>
        </w:rPr>
      </w:pPr>
      <w:r>
        <w:rPr>
          <w:sz w:val="32"/>
          <w:szCs w:val="32"/>
        </w:rPr>
        <w:t>РЕШЕНИЕ</w:t>
      </w:r>
    </w:p>
    <w:p w14:paraId="5BFC9459">
      <w:pPr>
        <w:ind w:right="299"/>
        <w:jc w:val="center"/>
      </w:pPr>
    </w:p>
    <w:p w14:paraId="5F772FFA">
      <w:pPr>
        <w:ind w:right="299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 </w:t>
      </w:r>
      <w:r>
        <w:rPr>
          <w:rFonts w:hint="default"/>
          <w:sz w:val="28"/>
          <w:szCs w:val="28"/>
          <w:lang w:val="ru-RU"/>
        </w:rPr>
        <w:t>31.10.2024</w:t>
      </w:r>
      <w:r>
        <w:rPr>
          <w:sz w:val="28"/>
          <w:szCs w:val="28"/>
        </w:rPr>
        <w:t xml:space="preserve"> года  № </w:t>
      </w:r>
      <w:r>
        <w:rPr>
          <w:rFonts w:hint="default"/>
          <w:sz w:val="28"/>
          <w:szCs w:val="28"/>
          <w:lang w:val="ru-RU"/>
        </w:rPr>
        <w:t>2/16</w:t>
      </w:r>
    </w:p>
    <w:p w14:paraId="784A1625">
      <w:pPr>
        <w:ind w:right="299"/>
        <w:rPr>
          <w:sz w:val="28"/>
          <w:szCs w:val="28"/>
        </w:rPr>
      </w:pPr>
      <w:r>
        <w:rPr>
          <w:sz w:val="28"/>
          <w:szCs w:val="28"/>
        </w:rPr>
        <w:t>д. Красные Косары</w:t>
      </w:r>
    </w:p>
    <w:p w14:paraId="2FC0B8B3">
      <w:pPr>
        <w:ind w:right="299"/>
        <w:rPr>
          <w:sz w:val="28"/>
          <w:szCs w:val="28"/>
        </w:rPr>
      </w:pPr>
    </w:p>
    <w:p w14:paraId="0161EE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14:paraId="62229AEA">
      <w:pPr>
        <w:jc w:val="both"/>
        <w:rPr>
          <w:sz w:val="28"/>
          <w:szCs w:val="28"/>
        </w:rPr>
      </w:pPr>
      <w:r>
        <w:rPr>
          <w:sz w:val="28"/>
          <w:szCs w:val="28"/>
        </w:rPr>
        <w:t>в решение  от 14.11.2019 г. № 1/36</w:t>
      </w:r>
    </w:p>
    <w:p w14:paraId="77FF0116">
      <w:pPr>
        <w:jc w:val="both"/>
        <w:rPr>
          <w:sz w:val="28"/>
          <w:szCs w:val="28"/>
        </w:rPr>
      </w:pPr>
      <w:r>
        <w:rPr>
          <w:sz w:val="28"/>
          <w:szCs w:val="28"/>
        </w:rPr>
        <w:t>«О земельном налоге»</w:t>
      </w:r>
    </w:p>
    <w:p w14:paraId="2F6B8233">
      <w:pPr>
        <w:jc w:val="both"/>
        <w:rPr>
          <w:sz w:val="28"/>
          <w:szCs w:val="28"/>
        </w:rPr>
      </w:pPr>
    </w:p>
    <w:p w14:paraId="33122815">
      <w:pPr>
        <w:jc w:val="both"/>
        <w:rPr>
          <w:sz w:val="28"/>
          <w:szCs w:val="28"/>
        </w:rPr>
      </w:pPr>
    </w:p>
    <w:p w14:paraId="5B32D6B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 с главой 31 «Земельный налог» Налогового кодекса Российской Федерации, статьей 14 Федерального закона от 06.10.2003  №131-ФЗ «Об общих принципах организации местного самоуправления в Российской Федерации», и руководствуясь Уставом  Краснокосаровского сельского поселения Мглинского района Брянской области,  Краснокосаровский сельский Совет народных депутатов </w:t>
      </w:r>
    </w:p>
    <w:p w14:paraId="60A1FD14">
      <w:pPr>
        <w:jc w:val="both"/>
        <w:rPr>
          <w:sz w:val="28"/>
        </w:rPr>
      </w:pPr>
      <w:r>
        <w:tab/>
      </w:r>
    </w:p>
    <w:p w14:paraId="2CAE5848">
      <w:pPr>
        <w:jc w:val="both"/>
        <w:rPr>
          <w:b/>
          <w:bCs/>
          <w:sz w:val="28"/>
        </w:rPr>
      </w:pPr>
      <w:r>
        <w:rPr>
          <w:sz w:val="28"/>
        </w:rPr>
        <w:tab/>
      </w:r>
      <w:r>
        <w:rPr>
          <w:b/>
          <w:bCs/>
          <w:sz w:val="28"/>
        </w:rPr>
        <w:t>РЕШИЛ:</w:t>
      </w:r>
    </w:p>
    <w:p w14:paraId="45FECF53">
      <w:pPr>
        <w:jc w:val="both"/>
        <w:rPr>
          <w:b/>
          <w:bCs/>
          <w:sz w:val="28"/>
        </w:rPr>
      </w:pPr>
    </w:p>
    <w:p w14:paraId="6160A709">
      <w:pPr>
        <w:jc w:val="both"/>
        <w:rPr>
          <w:rStyle w:val="21"/>
          <w:sz w:val="28"/>
          <w:szCs w:val="28"/>
        </w:rPr>
      </w:pPr>
      <w:r>
        <w:rPr>
          <w:sz w:val="28"/>
        </w:rPr>
        <w:t>1.</w:t>
      </w:r>
      <w:r>
        <w:rPr>
          <w:sz w:val="28"/>
          <w:szCs w:val="28"/>
        </w:rPr>
        <w:t xml:space="preserve">  Внести в решение от 14.11.2019 года  № 1/36«</w:t>
      </w:r>
      <w:r>
        <w:rPr>
          <w:rStyle w:val="21"/>
          <w:sz w:val="28"/>
          <w:szCs w:val="28"/>
        </w:rPr>
        <w:t xml:space="preserve">О земельном налоге» </w:t>
      </w:r>
    </w:p>
    <w:p w14:paraId="07B0B363">
      <w:pPr>
        <w:jc w:val="both"/>
        <w:rPr>
          <w:rStyle w:val="21"/>
          <w:sz w:val="28"/>
          <w:szCs w:val="28"/>
        </w:rPr>
      </w:pPr>
      <w:r>
        <w:rPr>
          <w:rStyle w:val="21"/>
          <w:sz w:val="28"/>
          <w:szCs w:val="28"/>
        </w:rPr>
        <w:t>( в редакции решения от 24.05.2024 г. № 1/160 «О внесении изменений в решение от 14.11.2019 г. № 1/</w:t>
      </w:r>
      <w:bookmarkStart w:id="0" w:name="_GoBack"/>
      <w:bookmarkEnd w:id="0"/>
      <w:r>
        <w:rPr>
          <w:rStyle w:val="21"/>
          <w:sz w:val="28"/>
          <w:szCs w:val="28"/>
        </w:rPr>
        <w:t>36 «О земельном налоге»)</w:t>
      </w:r>
    </w:p>
    <w:p w14:paraId="0DDDBCA0">
      <w:pPr>
        <w:jc w:val="both"/>
        <w:rPr>
          <w:sz w:val="28"/>
          <w:szCs w:val="28"/>
        </w:rPr>
      </w:pPr>
      <w:r>
        <w:rPr>
          <w:sz w:val="28"/>
          <w:szCs w:val="28"/>
        </w:rPr>
        <w:t>следующие изменения:</w:t>
      </w:r>
    </w:p>
    <w:p w14:paraId="0F98F5F5">
      <w:pPr>
        <w:shd w:val="clear" w:color="auto" w:fill="FFFFFF"/>
        <w:tabs>
          <w:tab w:val="left" w:pos="9269"/>
        </w:tabs>
        <w:ind w:right="299"/>
        <w:jc w:val="both"/>
        <w:rPr>
          <w:sz w:val="28"/>
          <w:szCs w:val="28"/>
        </w:rPr>
      </w:pPr>
    </w:p>
    <w:p w14:paraId="61141BC1">
      <w:pPr>
        <w:pStyle w:val="19"/>
        <w:numPr>
          <w:ilvl w:val="1"/>
          <w:numId w:val="1"/>
        </w:numPr>
        <w:shd w:val="clear" w:color="auto" w:fill="FFFFFF"/>
        <w:tabs>
          <w:tab w:val="left" w:pos="9269"/>
        </w:tabs>
        <w:ind w:right="299"/>
        <w:jc w:val="both"/>
        <w:rPr>
          <w:sz w:val="28"/>
          <w:szCs w:val="28"/>
        </w:rPr>
      </w:pPr>
      <w:r>
        <w:rPr>
          <w:sz w:val="28"/>
          <w:szCs w:val="28"/>
        </w:rPr>
        <w:t>Подпункт  2.1.1. пункта 2.1. «Налоговые ставки» изложить в новой редакции:</w:t>
      </w:r>
    </w:p>
    <w:p w14:paraId="03F9E11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«2.1.1. 0,3 процента в отношении земельных участков:</w:t>
      </w:r>
    </w:p>
    <w:p w14:paraId="4A976C44">
      <w:pPr>
        <w:rPr>
          <w:sz w:val="28"/>
          <w:szCs w:val="28"/>
        </w:rPr>
      </w:pPr>
      <w:r>
        <w:rPr>
          <w:sz w:val="28"/>
          <w:szCs w:val="28"/>
        </w:rPr>
        <w:t xml:space="preserve">       - отнесенных к землям сельскохозяйственного назначения или к землям в составе зон сельскохозяйственного использования в населенных пунктах и </w:t>
      </w:r>
      <w:r>
        <w:fldChar w:fldCharType="begin"/>
      </w:r>
      <w:r>
        <w:instrText xml:space="preserve"> HYPERLINK "https://www.consultant.ru/document/cons_doc_LAW_28165/fd2ac88b2311a6053a128cfa43aa07672e826213/" </w:instrText>
      </w:r>
      <w:r>
        <w:fldChar w:fldCharType="separate"/>
      </w:r>
      <w:r>
        <w:rPr>
          <w:rStyle w:val="5"/>
          <w:color w:val="1A0DAB"/>
          <w:sz w:val="28"/>
          <w:szCs w:val="28"/>
        </w:rPr>
        <w:t>используемых</w:t>
      </w:r>
      <w:r>
        <w:rPr>
          <w:rStyle w:val="5"/>
          <w:color w:val="1A0DAB"/>
          <w:sz w:val="28"/>
          <w:szCs w:val="28"/>
        </w:rPr>
        <w:fldChar w:fldCharType="end"/>
      </w:r>
      <w:r>
        <w:rPr>
          <w:sz w:val="28"/>
          <w:szCs w:val="28"/>
        </w:rPr>
        <w:t> для сельскохозяйственного производства;</w:t>
      </w:r>
    </w:p>
    <w:p w14:paraId="44316592">
      <w:pPr>
        <w:rPr>
          <w:sz w:val="28"/>
          <w:szCs w:val="28"/>
        </w:rPr>
      </w:pPr>
      <w:r>
        <w:rPr>
          <w:sz w:val="28"/>
          <w:szCs w:val="28"/>
        </w:rPr>
        <w:t xml:space="preserve">       -  занятых  </w:t>
      </w:r>
      <w:r>
        <w:fldChar w:fldCharType="begin"/>
      </w:r>
      <w:r>
        <w:instrText xml:space="preserve"> HYPERLINK "https://www.consultant.ru/document/cons_doc_LAW_466854/fe99dd6f3781dbb9760856b276d3e28ff420f33e/" \l "dst100149" </w:instrText>
      </w:r>
      <w:r>
        <w:fldChar w:fldCharType="separate"/>
      </w:r>
      <w:r>
        <w:rPr>
          <w:rStyle w:val="5"/>
          <w:color w:val="1A0DAB"/>
          <w:sz w:val="28"/>
          <w:szCs w:val="28"/>
        </w:rPr>
        <w:t>жилищным фондом</w:t>
      </w:r>
      <w:r>
        <w:rPr>
          <w:rStyle w:val="5"/>
          <w:color w:val="1A0DAB"/>
          <w:sz w:val="28"/>
          <w:szCs w:val="28"/>
        </w:rPr>
        <w:fldChar w:fldCharType="end"/>
      </w:r>
      <w:r>
        <w:rPr>
          <w:sz w:val="28"/>
          <w:szCs w:val="28"/>
        </w:rPr>
        <w:t xml:space="preserve">   и (или) объектами инженерной инфраструктуры жилищно-коммунального комплекса (за </w:t>
      </w:r>
      <w:r>
        <w:fldChar w:fldCharType="begin"/>
      </w:r>
      <w:r>
        <w:instrText xml:space="preserve"> HYPERLINK "https://www.consultant.ru/document/cons_doc_LAW_28165/fd2ac88b2311a6053a128cfa43aa07672e826213/" </w:instrText>
      </w:r>
      <w:r>
        <w:fldChar w:fldCharType="separate"/>
      </w:r>
      <w:r>
        <w:rPr>
          <w:rStyle w:val="5"/>
          <w:color w:val="1A0DAB"/>
          <w:sz w:val="28"/>
          <w:szCs w:val="28"/>
        </w:rPr>
        <w:t>исключением</w:t>
      </w:r>
      <w:r>
        <w:rPr>
          <w:rStyle w:val="5"/>
          <w:color w:val="1A0DAB"/>
          <w:sz w:val="28"/>
          <w:szCs w:val="28"/>
        </w:rPr>
        <w:fldChar w:fldCharType="end"/>
      </w:r>
      <w:r>
        <w:rPr>
          <w:sz w:val="28"/>
          <w:szCs w:val="28"/>
        </w:rPr>
        <w:t> </w:t>
      </w:r>
      <w:r>
        <w:fldChar w:fldCharType="begin"/>
      </w:r>
      <w:r>
        <w:instrText xml:space="preserve"> HYPERLINK "https://www.consultant.ru/document/cons_doc_LAW_466786/" \l "dst100005" </w:instrText>
      </w:r>
      <w:r>
        <w:fldChar w:fldCharType="separate"/>
      </w:r>
      <w:r>
        <w:rPr>
          <w:rStyle w:val="5"/>
          <w:color w:val="1A0DAB"/>
          <w:sz w:val="28"/>
          <w:szCs w:val="28"/>
        </w:rPr>
        <w:t>части</w:t>
      </w:r>
      <w:r>
        <w:rPr>
          <w:rStyle w:val="5"/>
          <w:color w:val="1A0DAB"/>
          <w:sz w:val="28"/>
          <w:szCs w:val="28"/>
        </w:rPr>
        <w:fldChar w:fldCharType="end"/>
      </w:r>
      <w:r>
        <w:rPr>
          <w:sz w:val="28"/>
          <w:szCs w:val="28"/>
        </w:rPr>
        <w:t>  земельного участка,  приходящейся на объект недвижимого имущества, не относящийся к жилищному фонду и (или) к объектам инженерной  инфраструктуры  жилищно-коммунального комплекса) или приобретенных (предоставленных)  для   жилищного строительства, за исключением указанных в настоящем абзаце земельных участков, приобретенных (представленных) для индивидуального жилищного строительства,  используемых  в предпринимательской деятельности, и земельных участков, кадастровая стоимость каждого из которых превышает  300 миллионов рублей;</w:t>
      </w:r>
    </w:p>
    <w:p w14:paraId="6572E215">
      <w:pPr>
        <w:rPr>
          <w:sz w:val="28"/>
          <w:szCs w:val="28"/>
        </w:rPr>
      </w:pPr>
      <w:r>
        <w:rPr>
          <w:sz w:val="28"/>
          <w:szCs w:val="28"/>
        </w:rPr>
        <w:t xml:space="preserve">        - не используемых в предпринимательской деятельности, приобретенных (предоставленных) для ведения </w:t>
      </w:r>
      <w:r>
        <w:fldChar w:fldCharType="begin"/>
      </w:r>
      <w:r>
        <w:instrText xml:space="preserve"> HYPERLINK "https://www.consultant.ru/document/cons_doc_LAW_454116/de3626c40da3261c644a5c1a211f4a545e081762/" \l "dst100022" </w:instrText>
      </w:r>
      <w:r>
        <w:fldChar w:fldCharType="separate"/>
      </w:r>
      <w:r>
        <w:rPr>
          <w:rStyle w:val="5"/>
          <w:color w:val="1A0DAB"/>
          <w:sz w:val="28"/>
          <w:szCs w:val="28"/>
        </w:rPr>
        <w:t>личного подсобного хозяйства</w:t>
      </w:r>
      <w:r>
        <w:rPr>
          <w:rStyle w:val="5"/>
          <w:color w:val="1A0DAB"/>
          <w:sz w:val="28"/>
          <w:szCs w:val="28"/>
        </w:rPr>
        <w:fldChar w:fldCharType="end"/>
      </w:r>
      <w:r>
        <w:rPr>
          <w:sz w:val="28"/>
          <w:szCs w:val="28"/>
        </w:rPr>
        <w:t>, садоводства или огородничества, а также земельных </w:t>
      </w:r>
      <w:r>
        <w:fldChar w:fldCharType="begin"/>
      </w:r>
      <w:r>
        <w:instrText xml:space="preserve"> HYPERLINK "https://www.consultant.ru/document/cons_doc_LAW_412647/f7143b4851ded1452c1745ae8456ef26b20d2190/" \l "dst100011" </w:instrText>
      </w:r>
      <w:r>
        <w:fldChar w:fldCharType="separate"/>
      </w:r>
      <w:r>
        <w:rPr>
          <w:rStyle w:val="5"/>
          <w:color w:val="1A0DAB"/>
          <w:sz w:val="28"/>
          <w:szCs w:val="28"/>
        </w:rPr>
        <w:t>участков общего назначения</w:t>
      </w:r>
      <w:r>
        <w:rPr>
          <w:rStyle w:val="5"/>
          <w:color w:val="1A0DAB"/>
          <w:sz w:val="28"/>
          <w:szCs w:val="28"/>
        </w:rPr>
        <w:fldChar w:fldCharType="end"/>
      </w:r>
      <w:r>
        <w:rPr>
          <w:sz w:val="28"/>
          <w:szCs w:val="28"/>
        </w:rPr>
        <w:t>, предусмотренных Федеральным </w:t>
      </w:r>
      <w:r>
        <w:fldChar w:fldCharType="begin"/>
      </w:r>
      <w:r>
        <w:instrText xml:space="preserve"> HYPERLINK "https://www.consultant.ru/document/cons_doc_LAW_452778/" </w:instrText>
      </w:r>
      <w:r>
        <w:fldChar w:fldCharType="separate"/>
      </w:r>
      <w:r>
        <w:rPr>
          <w:rStyle w:val="5"/>
          <w:color w:val="1A0DAB"/>
          <w:sz w:val="28"/>
          <w:szCs w:val="28"/>
        </w:rPr>
        <w:t>законом</w:t>
      </w:r>
      <w:r>
        <w:rPr>
          <w:rStyle w:val="5"/>
          <w:color w:val="1A0DAB"/>
          <w:sz w:val="28"/>
          <w:szCs w:val="28"/>
        </w:rPr>
        <w:fldChar w:fldCharType="end"/>
      </w:r>
      <w:r>
        <w:rPr>
          <w:sz w:val="28"/>
          <w:szCs w:val="28"/>
        </w:rPr>
        <w:t> от 29 июля 2017 года  № 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 указанных  в настоящем абзаце земельных участков, кадастровая стоимость каждого из которых превышает  300 миллионов рублей;</w:t>
      </w:r>
    </w:p>
    <w:p w14:paraId="45F9D1F8">
      <w:pPr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>
        <w:fldChar w:fldCharType="begin"/>
      </w:r>
      <w:r>
        <w:instrText xml:space="preserve"> HYPERLINK "https://www.consultant.ru/document/cons_doc_LAW_445436/9babd85d0c92d55f91b6b8c5f33e49779568849c/" \l "dst100019" </w:instrText>
      </w:r>
      <w:r>
        <w:fldChar w:fldCharType="separate"/>
      </w:r>
      <w:r>
        <w:rPr>
          <w:color w:val="1A0DAB"/>
          <w:sz w:val="28"/>
          <w:szCs w:val="28"/>
          <w:u w:val="single"/>
        </w:rPr>
        <w:t>ограниченных в обороте</w:t>
      </w:r>
      <w:r>
        <w:rPr>
          <w:color w:val="1A0DAB"/>
          <w:sz w:val="28"/>
          <w:szCs w:val="28"/>
          <w:u w:val="single"/>
        </w:rPr>
        <w:fldChar w:fldCharType="end"/>
      </w:r>
      <w:r>
        <w:rPr>
          <w:sz w:val="28"/>
          <w:szCs w:val="28"/>
        </w:rPr>
        <w:t>  в соответствии с </w:t>
      </w:r>
      <w:r>
        <w:fldChar w:fldCharType="begin"/>
      </w:r>
      <w:r>
        <w:instrText xml:space="preserve"> HYPERLINK "https://www.consultant.ru/document/cons_doc_LAW_454318/fb3b9f6c5786727ec9ea99d18258678dcbe363ef/" \l "dst100241" </w:instrText>
      </w:r>
      <w:r>
        <w:fldChar w:fldCharType="separate"/>
      </w:r>
      <w:r>
        <w:rPr>
          <w:color w:val="1A0DAB"/>
          <w:sz w:val="28"/>
          <w:szCs w:val="28"/>
          <w:u w:val="single"/>
        </w:rPr>
        <w:t>законодательством</w:t>
      </w:r>
      <w:r>
        <w:rPr>
          <w:color w:val="1A0DAB"/>
          <w:sz w:val="28"/>
          <w:szCs w:val="28"/>
          <w:u w:val="single"/>
        </w:rPr>
        <w:fldChar w:fldCharType="end"/>
      </w:r>
      <w:r>
        <w:rPr>
          <w:sz w:val="28"/>
          <w:szCs w:val="28"/>
        </w:rPr>
        <w:t> Российской Федерации, предоставленных для обеспечения обороны, безопасности и таможенных нужд».</w:t>
      </w:r>
    </w:p>
    <w:p w14:paraId="0D161CBB">
      <w:pPr>
        <w:rPr>
          <w:sz w:val="28"/>
          <w:szCs w:val="28"/>
        </w:rPr>
      </w:pPr>
      <w:r>
        <w:rPr>
          <w:sz w:val="28"/>
          <w:szCs w:val="28"/>
        </w:rPr>
        <w:t xml:space="preserve">          1.2. Раздел 3.  изложить в новой редакции: </w:t>
      </w:r>
    </w:p>
    <w:p w14:paraId="2BEDBC17">
      <w:pPr>
        <w:shd w:val="clear" w:color="auto" w:fill="FFFFFF"/>
        <w:tabs>
          <w:tab w:val="left" w:pos="9269"/>
        </w:tabs>
        <w:ind w:left="75" w:right="2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«Раздел 3.Порядок и сроки уплаты налога.</w:t>
      </w:r>
    </w:p>
    <w:p w14:paraId="13A2F127">
      <w:pPr>
        <w:shd w:val="clear" w:color="auto" w:fill="FFFFFF"/>
        <w:tabs>
          <w:tab w:val="left" w:pos="9269"/>
        </w:tabs>
        <w:ind w:right="2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3.1. Порядок и сроки уплаты налога и авансовых платежей по налогу определяется в соответствии со  статьей 397 Налогового кодекса Российской Федерации».</w:t>
      </w:r>
    </w:p>
    <w:p w14:paraId="0E503A12">
      <w:pPr>
        <w:shd w:val="clear" w:color="auto" w:fill="FFFFFF"/>
        <w:tabs>
          <w:tab w:val="left" w:pos="9269"/>
        </w:tabs>
        <w:ind w:right="299"/>
        <w:jc w:val="both"/>
        <w:rPr>
          <w:sz w:val="28"/>
          <w:szCs w:val="28"/>
        </w:rPr>
      </w:pPr>
    </w:p>
    <w:p w14:paraId="22037A09">
      <w:pPr>
        <w:rPr>
          <w:sz w:val="28"/>
          <w:szCs w:val="28"/>
        </w:rPr>
      </w:pPr>
      <w:r>
        <w:rPr>
          <w:sz w:val="28"/>
          <w:szCs w:val="28"/>
        </w:rPr>
        <w:t>2. Признать утратившим силу решение  Краснокосаровского  сельского Совета народных  депутатов от 24.05.2024 года  №1/160 «О внесении изменений в решение от 08.10.2010 г. № 2-38 «О земельном налоге».</w:t>
      </w:r>
    </w:p>
    <w:p w14:paraId="01780E1E">
      <w:pPr>
        <w:jc w:val="both"/>
        <w:rPr>
          <w:sz w:val="28"/>
        </w:rPr>
      </w:pPr>
    </w:p>
    <w:p w14:paraId="502853BD">
      <w:pPr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не ранее чем по истечении одного месяца со дня официального опубликования и не ранее первого числа очередного налогового периода по земельному налогу. </w:t>
      </w:r>
    </w:p>
    <w:p w14:paraId="71E197AF">
      <w:pPr>
        <w:jc w:val="both"/>
        <w:rPr>
          <w:sz w:val="28"/>
        </w:rPr>
      </w:pPr>
    </w:p>
    <w:p w14:paraId="6098DCFD">
      <w:pPr>
        <w:jc w:val="both"/>
        <w:rPr>
          <w:sz w:val="28"/>
        </w:rPr>
      </w:pPr>
      <w:r>
        <w:rPr>
          <w:color w:val="000000"/>
          <w:sz w:val="28"/>
          <w:szCs w:val="28"/>
        </w:rPr>
        <w:t>4.Настоящее решение опубликовать в районной  газете «Мглинские вести».</w:t>
      </w:r>
    </w:p>
    <w:p w14:paraId="62DB9769">
      <w:pPr>
        <w:jc w:val="both"/>
        <w:rPr>
          <w:sz w:val="28"/>
        </w:rPr>
      </w:pPr>
    </w:p>
    <w:p w14:paraId="1111E600">
      <w:pPr>
        <w:jc w:val="both"/>
        <w:rPr>
          <w:sz w:val="28"/>
        </w:rPr>
      </w:pPr>
    </w:p>
    <w:p w14:paraId="372F643C">
      <w:pPr>
        <w:jc w:val="both"/>
        <w:rPr>
          <w:sz w:val="28"/>
        </w:rPr>
      </w:pPr>
    </w:p>
    <w:p w14:paraId="3D27C28E">
      <w:pPr>
        <w:jc w:val="both"/>
        <w:rPr>
          <w:sz w:val="28"/>
        </w:rPr>
      </w:pPr>
    </w:p>
    <w:p w14:paraId="136BF281">
      <w:pPr>
        <w:jc w:val="both"/>
        <w:rPr>
          <w:sz w:val="28"/>
        </w:rPr>
      </w:pPr>
    </w:p>
    <w:p w14:paraId="04BFC819">
      <w:pPr>
        <w:jc w:val="both"/>
        <w:rPr>
          <w:sz w:val="28"/>
        </w:rPr>
      </w:pPr>
    </w:p>
    <w:p w14:paraId="2B6D9A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Краснокосаровского </w:t>
      </w:r>
    </w:p>
    <w:p w14:paraId="2547C79D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      Т.Ф.Зайцева</w:t>
      </w:r>
    </w:p>
    <w:p w14:paraId="292E72EF">
      <w:pPr>
        <w:jc w:val="both"/>
        <w:rPr>
          <w:sz w:val="28"/>
          <w:szCs w:val="28"/>
        </w:rPr>
      </w:pPr>
    </w:p>
    <w:p w14:paraId="50B95AA3"/>
    <w:p w14:paraId="27A94577">
      <w:pPr>
        <w:jc w:val="both"/>
        <w:rPr>
          <w:sz w:val="28"/>
          <w:szCs w:val="28"/>
        </w:rPr>
      </w:pPr>
    </w:p>
    <w:p w14:paraId="3405D861">
      <w:pPr>
        <w:jc w:val="both"/>
        <w:rPr>
          <w:sz w:val="28"/>
          <w:szCs w:val="28"/>
        </w:rPr>
      </w:pPr>
    </w:p>
    <w:p w14:paraId="79844EFB">
      <w:pPr>
        <w:jc w:val="both"/>
        <w:rPr>
          <w:sz w:val="28"/>
          <w:szCs w:val="28"/>
        </w:rPr>
      </w:pPr>
    </w:p>
    <w:p w14:paraId="7F885281">
      <w:pPr>
        <w:jc w:val="both"/>
        <w:rPr>
          <w:sz w:val="28"/>
          <w:szCs w:val="28"/>
        </w:rPr>
      </w:pPr>
    </w:p>
    <w:p w14:paraId="20F5BDDC">
      <w:pPr>
        <w:jc w:val="both"/>
        <w:rPr>
          <w:sz w:val="28"/>
          <w:szCs w:val="28"/>
        </w:rPr>
      </w:pPr>
    </w:p>
    <w:p w14:paraId="2EEA6B65">
      <w:pPr>
        <w:jc w:val="both"/>
        <w:rPr>
          <w:sz w:val="28"/>
          <w:szCs w:val="28"/>
        </w:rPr>
      </w:pPr>
    </w:p>
    <w:sectPr>
      <w:pgSz w:w="11906" w:h="16838"/>
      <w:pgMar w:top="1134" w:right="851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Arial Narrow">
    <w:panose1 w:val="020B0606020202030204"/>
    <w:charset w:val="CC"/>
    <w:family w:val="swiss"/>
    <w:pitch w:val="default"/>
    <w:sig w:usb0="00000287" w:usb1="00000800" w:usb2="00000000" w:usb3="00000000" w:csb0="2000009F" w:csb1="DFD7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11C6B"/>
    <w:multiLevelType w:val="multilevel"/>
    <w:tmpl w:val="1BB11C6B"/>
    <w:lvl w:ilvl="0" w:tentative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874271"/>
    <w:rsid w:val="00016D9D"/>
    <w:rsid w:val="000226E0"/>
    <w:rsid w:val="000306AA"/>
    <w:rsid w:val="00045E5E"/>
    <w:rsid w:val="00046C06"/>
    <w:rsid w:val="00047778"/>
    <w:rsid w:val="00051E27"/>
    <w:rsid w:val="00052F15"/>
    <w:rsid w:val="0006490E"/>
    <w:rsid w:val="000659DC"/>
    <w:rsid w:val="00067528"/>
    <w:rsid w:val="00067AB2"/>
    <w:rsid w:val="00082244"/>
    <w:rsid w:val="00085707"/>
    <w:rsid w:val="000907F6"/>
    <w:rsid w:val="000A1C66"/>
    <w:rsid w:val="000A3C7A"/>
    <w:rsid w:val="000A6AEB"/>
    <w:rsid w:val="000C08E0"/>
    <w:rsid w:val="000C1734"/>
    <w:rsid w:val="000C6743"/>
    <w:rsid w:val="000D08FC"/>
    <w:rsid w:val="000D09D8"/>
    <w:rsid w:val="000D73D7"/>
    <w:rsid w:val="000E52B0"/>
    <w:rsid w:val="000F781C"/>
    <w:rsid w:val="00115814"/>
    <w:rsid w:val="00116596"/>
    <w:rsid w:val="00120784"/>
    <w:rsid w:val="00124CC1"/>
    <w:rsid w:val="00126C5B"/>
    <w:rsid w:val="001347C8"/>
    <w:rsid w:val="00135034"/>
    <w:rsid w:val="00137D8E"/>
    <w:rsid w:val="00141012"/>
    <w:rsid w:val="00155AE1"/>
    <w:rsid w:val="00163CFF"/>
    <w:rsid w:val="00165A5F"/>
    <w:rsid w:val="00172AAA"/>
    <w:rsid w:val="00174ABC"/>
    <w:rsid w:val="00182EC0"/>
    <w:rsid w:val="00184E54"/>
    <w:rsid w:val="00196828"/>
    <w:rsid w:val="001B0E44"/>
    <w:rsid w:val="001B3EF7"/>
    <w:rsid w:val="001B73B8"/>
    <w:rsid w:val="001B77C3"/>
    <w:rsid w:val="001C0E16"/>
    <w:rsid w:val="001D104B"/>
    <w:rsid w:val="001D78CD"/>
    <w:rsid w:val="001E09AD"/>
    <w:rsid w:val="001F4FA4"/>
    <w:rsid w:val="001F62EC"/>
    <w:rsid w:val="00203F3B"/>
    <w:rsid w:val="0020574C"/>
    <w:rsid w:val="00205A59"/>
    <w:rsid w:val="00211529"/>
    <w:rsid w:val="00217E06"/>
    <w:rsid w:val="002256F2"/>
    <w:rsid w:val="00247756"/>
    <w:rsid w:val="00250F5B"/>
    <w:rsid w:val="00254EE7"/>
    <w:rsid w:val="00255B26"/>
    <w:rsid w:val="00271528"/>
    <w:rsid w:val="0027476D"/>
    <w:rsid w:val="002860BD"/>
    <w:rsid w:val="00286389"/>
    <w:rsid w:val="00296A18"/>
    <w:rsid w:val="002A0DE7"/>
    <w:rsid w:val="002A5856"/>
    <w:rsid w:val="002A63ED"/>
    <w:rsid w:val="002A7209"/>
    <w:rsid w:val="002C16B1"/>
    <w:rsid w:val="002C30DD"/>
    <w:rsid w:val="002C31A1"/>
    <w:rsid w:val="002D1C25"/>
    <w:rsid w:val="002D372B"/>
    <w:rsid w:val="002D72EC"/>
    <w:rsid w:val="002E13D8"/>
    <w:rsid w:val="002E57D2"/>
    <w:rsid w:val="002E6332"/>
    <w:rsid w:val="002F1F9C"/>
    <w:rsid w:val="002F68CF"/>
    <w:rsid w:val="00321096"/>
    <w:rsid w:val="00335E22"/>
    <w:rsid w:val="0034521B"/>
    <w:rsid w:val="00347004"/>
    <w:rsid w:val="003601C6"/>
    <w:rsid w:val="00362C2D"/>
    <w:rsid w:val="00364A7E"/>
    <w:rsid w:val="003654D4"/>
    <w:rsid w:val="00372FD5"/>
    <w:rsid w:val="00382D59"/>
    <w:rsid w:val="003864FA"/>
    <w:rsid w:val="003951AE"/>
    <w:rsid w:val="003A0594"/>
    <w:rsid w:val="003A0AFC"/>
    <w:rsid w:val="003A2FCE"/>
    <w:rsid w:val="003B05D0"/>
    <w:rsid w:val="003B484F"/>
    <w:rsid w:val="003C0346"/>
    <w:rsid w:val="003C24A0"/>
    <w:rsid w:val="003C3A09"/>
    <w:rsid w:val="003C7127"/>
    <w:rsid w:val="003D18E9"/>
    <w:rsid w:val="003D2037"/>
    <w:rsid w:val="003D43C5"/>
    <w:rsid w:val="003E0ED6"/>
    <w:rsid w:val="003E3F54"/>
    <w:rsid w:val="00403B73"/>
    <w:rsid w:val="004145CD"/>
    <w:rsid w:val="00416E88"/>
    <w:rsid w:val="004200EB"/>
    <w:rsid w:val="00422EA4"/>
    <w:rsid w:val="00431B4E"/>
    <w:rsid w:val="00437699"/>
    <w:rsid w:val="00441019"/>
    <w:rsid w:val="0044136B"/>
    <w:rsid w:val="00453BEA"/>
    <w:rsid w:val="0046208E"/>
    <w:rsid w:val="00462EDE"/>
    <w:rsid w:val="00481A59"/>
    <w:rsid w:val="0048436A"/>
    <w:rsid w:val="004933B8"/>
    <w:rsid w:val="004A3899"/>
    <w:rsid w:val="004B1C72"/>
    <w:rsid w:val="004B1CEB"/>
    <w:rsid w:val="004B483E"/>
    <w:rsid w:val="004B5CBE"/>
    <w:rsid w:val="004B7E53"/>
    <w:rsid w:val="004C4603"/>
    <w:rsid w:val="004C6172"/>
    <w:rsid w:val="004D0F35"/>
    <w:rsid w:val="004D46CA"/>
    <w:rsid w:val="004E4D08"/>
    <w:rsid w:val="004F11AA"/>
    <w:rsid w:val="00503E72"/>
    <w:rsid w:val="00517627"/>
    <w:rsid w:val="005200B0"/>
    <w:rsid w:val="00521BE1"/>
    <w:rsid w:val="00525420"/>
    <w:rsid w:val="00535883"/>
    <w:rsid w:val="00553122"/>
    <w:rsid w:val="005602AB"/>
    <w:rsid w:val="00570F81"/>
    <w:rsid w:val="005778A2"/>
    <w:rsid w:val="00581C49"/>
    <w:rsid w:val="00583F31"/>
    <w:rsid w:val="005A33FB"/>
    <w:rsid w:val="005B0344"/>
    <w:rsid w:val="005B1E28"/>
    <w:rsid w:val="005C3BD4"/>
    <w:rsid w:val="005C522F"/>
    <w:rsid w:val="005C5340"/>
    <w:rsid w:val="005C59DE"/>
    <w:rsid w:val="005D4543"/>
    <w:rsid w:val="005D540F"/>
    <w:rsid w:val="005E4A37"/>
    <w:rsid w:val="005E7576"/>
    <w:rsid w:val="005E78C1"/>
    <w:rsid w:val="005F5B86"/>
    <w:rsid w:val="00601F4D"/>
    <w:rsid w:val="00604A29"/>
    <w:rsid w:val="006059D9"/>
    <w:rsid w:val="006177F5"/>
    <w:rsid w:val="00622F8C"/>
    <w:rsid w:val="00630E2C"/>
    <w:rsid w:val="0063489B"/>
    <w:rsid w:val="00635A67"/>
    <w:rsid w:val="00641F27"/>
    <w:rsid w:val="006449BF"/>
    <w:rsid w:val="006468F6"/>
    <w:rsid w:val="006475F6"/>
    <w:rsid w:val="0068025F"/>
    <w:rsid w:val="006863C7"/>
    <w:rsid w:val="00687FA9"/>
    <w:rsid w:val="0069095B"/>
    <w:rsid w:val="00690D7B"/>
    <w:rsid w:val="00694091"/>
    <w:rsid w:val="006A0B4D"/>
    <w:rsid w:val="006A6C5B"/>
    <w:rsid w:val="006A6DD8"/>
    <w:rsid w:val="006B4E1C"/>
    <w:rsid w:val="006B7D74"/>
    <w:rsid w:val="006C3A57"/>
    <w:rsid w:val="006C468D"/>
    <w:rsid w:val="006D717B"/>
    <w:rsid w:val="0070393E"/>
    <w:rsid w:val="0070572E"/>
    <w:rsid w:val="00710A3D"/>
    <w:rsid w:val="00712969"/>
    <w:rsid w:val="00714C48"/>
    <w:rsid w:val="00715EE8"/>
    <w:rsid w:val="007214EE"/>
    <w:rsid w:val="007245BE"/>
    <w:rsid w:val="00755CC4"/>
    <w:rsid w:val="00757B9D"/>
    <w:rsid w:val="007671A7"/>
    <w:rsid w:val="00770C79"/>
    <w:rsid w:val="00771C3B"/>
    <w:rsid w:val="007A0732"/>
    <w:rsid w:val="007A7179"/>
    <w:rsid w:val="007B6A23"/>
    <w:rsid w:val="007C6101"/>
    <w:rsid w:val="007E38B0"/>
    <w:rsid w:val="007F21CC"/>
    <w:rsid w:val="007F42A0"/>
    <w:rsid w:val="007F4D62"/>
    <w:rsid w:val="00800A6C"/>
    <w:rsid w:val="008208A1"/>
    <w:rsid w:val="00824355"/>
    <w:rsid w:val="00824DD8"/>
    <w:rsid w:val="00825776"/>
    <w:rsid w:val="008277DE"/>
    <w:rsid w:val="00830DA7"/>
    <w:rsid w:val="008314AF"/>
    <w:rsid w:val="00832F08"/>
    <w:rsid w:val="008334A1"/>
    <w:rsid w:val="00834D9B"/>
    <w:rsid w:val="00836B27"/>
    <w:rsid w:val="008426CC"/>
    <w:rsid w:val="00843790"/>
    <w:rsid w:val="00843F42"/>
    <w:rsid w:val="00844AE7"/>
    <w:rsid w:val="00855EA8"/>
    <w:rsid w:val="00870E38"/>
    <w:rsid w:val="00874271"/>
    <w:rsid w:val="00874F52"/>
    <w:rsid w:val="00877590"/>
    <w:rsid w:val="008A7284"/>
    <w:rsid w:val="008B5430"/>
    <w:rsid w:val="008B59DB"/>
    <w:rsid w:val="008C0D62"/>
    <w:rsid w:val="008C5D0A"/>
    <w:rsid w:val="008C6006"/>
    <w:rsid w:val="008D5351"/>
    <w:rsid w:val="008D7AD1"/>
    <w:rsid w:val="00900F5F"/>
    <w:rsid w:val="0091457B"/>
    <w:rsid w:val="00915C12"/>
    <w:rsid w:val="009174BC"/>
    <w:rsid w:val="00922B3E"/>
    <w:rsid w:val="00932C1B"/>
    <w:rsid w:val="009405E1"/>
    <w:rsid w:val="00944C91"/>
    <w:rsid w:val="0095624E"/>
    <w:rsid w:val="00961F4D"/>
    <w:rsid w:val="009634B6"/>
    <w:rsid w:val="0096737C"/>
    <w:rsid w:val="00970E0D"/>
    <w:rsid w:val="009742FD"/>
    <w:rsid w:val="009777FD"/>
    <w:rsid w:val="0099004F"/>
    <w:rsid w:val="009A1EB7"/>
    <w:rsid w:val="009B2C18"/>
    <w:rsid w:val="009B4720"/>
    <w:rsid w:val="009C3C94"/>
    <w:rsid w:val="009D2376"/>
    <w:rsid w:val="009E26B1"/>
    <w:rsid w:val="009F17C6"/>
    <w:rsid w:val="009F70CA"/>
    <w:rsid w:val="00A032C3"/>
    <w:rsid w:val="00A10BAB"/>
    <w:rsid w:val="00A306BD"/>
    <w:rsid w:val="00A3237C"/>
    <w:rsid w:val="00A33FE6"/>
    <w:rsid w:val="00A42FE8"/>
    <w:rsid w:val="00A43BCA"/>
    <w:rsid w:val="00A64CE1"/>
    <w:rsid w:val="00A64EA3"/>
    <w:rsid w:val="00A677DA"/>
    <w:rsid w:val="00A678BC"/>
    <w:rsid w:val="00A67946"/>
    <w:rsid w:val="00A67C5F"/>
    <w:rsid w:val="00A70942"/>
    <w:rsid w:val="00A7349D"/>
    <w:rsid w:val="00AA16C8"/>
    <w:rsid w:val="00AA66A6"/>
    <w:rsid w:val="00AC33A1"/>
    <w:rsid w:val="00AC4863"/>
    <w:rsid w:val="00AC70B7"/>
    <w:rsid w:val="00AD1222"/>
    <w:rsid w:val="00AE23DC"/>
    <w:rsid w:val="00B01E05"/>
    <w:rsid w:val="00B16E61"/>
    <w:rsid w:val="00B30F2F"/>
    <w:rsid w:val="00B43280"/>
    <w:rsid w:val="00B44268"/>
    <w:rsid w:val="00B510EE"/>
    <w:rsid w:val="00B51A1F"/>
    <w:rsid w:val="00B56325"/>
    <w:rsid w:val="00B56DCB"/>
    <w:rsid w:val="00B714FA"/>
    <w:rsid w:val="00B753F1"/>
    <w:rsid w:val="00B76083"/>
    <w:rsid w:val="00B94703"/>
    <w:rsid w:val="00BB09B7"/>
    <w:rsid w:val="00BB7D14"/>
    <w:rsid w:val="00BC41E7"/>
    <w:rsid w:val="00BC73F2"/>
    <w:rsid w:val="00BD0677"/>
    <w:rsid w:val="00BE4B81"/>
    <w:rsid w:val="00BF1B1A"/>
    <w:rsid w:val="00C01B25"/>
    <w:rsid w:val="00C15B9E"/>
    <w:rsid w:val="00C22F04"/>
    <w:rsid w:val="00C43C7D"/>
    <w:rsid w:val="00C46111"/>
    <w:rsid w:val="00C5012C"/>
    <w:rsid w:val="00C753EE"/>
    <w:rsid w:val="00C764E9"/>
    <w:rsid w:val="00C8217B"/>
    <w:rsid w:val="00C860E5"/>
    <w:rsid w:val="00C90392"/>
    <w:rsid w:val="00CA53FD"/>
    <w:rsid w:val="00CA5460"/>
    <w:rsid w:val="00CB0908"/>
    <w:rsid w:val="00CB224D"/>
    <w:rsid w:val="00CD3868"/>
    <w:rsid w:val="00CD421B"/>
    <w:rsid w:val="00CE336D"/>
    <w:rsid w:val="00CE73AC"/>
    <w:rsid w:val="00CF43F6"/>
    <w:rsid w:val="00D11AC1"/>
    <w:rsid w:val="00D141D4"/>
    <w:rsid w:val="00D1626B"/>
    <w:rsid w:val="00D16519"/>
    <w:rsid w:val="00D1687E"/>
    <w:rsid w:val="00D33B80"/>
    <w:rsid w:val="00D34073"/>
    <w:rsid w:val="00D43F71"/>
    <w:rsid w:val="00D539C6"/>
    <w:rsid w:val="00D5580E"/>
    <w:rsid w:val="00D57714"/>
    <w:rsid w:val="00D63F41"/>
    <w:rsid w:val="00D77447"/>
    <w:rsid w:val="00D83765"/>
    <w:rsid w:val="00D839A8"/>
    <w:rsid w:val="00D85DBE"/>
    <w:rsid w:val="00D92026"/>
    <w:rsid w:val="00D96FB8"/>
    <w:rsid w:val="00DA5A17"/>
    <w:rsid w:val="00DB731E"/>
    <w:rsid w:val="00DC02A9"/>
    <w:rsid w:val="00DD13BD"/>
    <w:rsid w:val="00DD6C56"/>
    <w:rsid w:val="00DE1025"/>
    <w:rsid w:val="00DE65C6"/>
    <w:rsid w:val="00DF5CA3"/>
    <w:rsid w:val="00DF7B9A"/>
    <w:rsid w:val="00E00084"/>
    <w:rsid w:val="00E05FB5"/>
    <w:rsid w:val="00E07DAE"/>
    <w:rsid w:val="00E12AEC"/>
    <w:rsid w:val="00E26DCE"/>
    <w:rsid w:val="00E34DDB"/>
    <w:rsid w:val="00E401BB"/>
    <w:rsid w:val="00E4574A"/>
    <w:rsid w:val="00E51AB4"/>
    <w:rsid w:val="00E53795"/>
    <w:rsid w:val="00E5741F"/>
    <w:rsid w:val="00E62743"/>
    <w:rsid w:val="00E769C9"/>
    <w:rsid w:val="00E8314C"/>
    <w:rsid w:val="00E84933"/>
    <w:rsid w:val="00EA7B30"/>
    <w:rsid w:val="00EC1961"/>
    <w:rsid w:val="00EC2274"/>
    <w:rsid w:val="00EC6653"/>
    <w:rsid w:val="00EC70EA"/>
    <w:rsid w:val="00EF1395"/>
    <w:rsid w:val="00F02971"/>
    <w:rsid w:val="00F06A8F"/>
    <w:rsid w:val="00F10078"/>
    <w:rsid w:val="00F2178A"/>
    <w:rsid w:val="00F375B3"/>
    <w:rsid w:val="00F5426F"/>
    <w:rsid w:val="00F75E90"/>
    <w:rsid w:val="00F80B93"/>
    <w:rsid w:val="00F81E91"/>
    <w:rsid w:val="00F85A94"/>
    <w:rsid w:val="00FB05FF"/>
    <w:rsid w:val="00FC2DCE"/>
    <w:rsid w:val="00FC3694"/>
    <w:rsid w:val="00FC6B53"/>
    <w:rsid w:val="00FD27EF"/>
    <w:rsid w:val="00FD30D9"/>
    <w:rsid w:val="00FD7077"/>
    <w:rsid w:val="00FE1034"/>
    <w:rsid w:val="00FE3EB0"/>
    <w:rsid w:val="00FE6C7F"/>
    <w:rsid w:val="00FF3EC7"/>
    <w:rsid w:val="663276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0"/>
    <w:qFormat/>
    <w:locked/>
    <w:uiPriority w:val="99"/>
    <w:pPr>
      <w:keepNext/>
      <w:jc w:val="center"/>
      <w:outlineLvl w:val="0"/>
    </w:pPr>
    <w:rPr>
      <w:u w:val="single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semiHidden/>
    <w:qFormat/>
    <w:uiPriority w:val="99"/>
    <w:rPr>
      <w:rFonts w:cs="Times New Roman"/>
      <w:color w:val="0000FF"/>
      <w:u w:val="single"/>
    </w:rPr>
  </w:style>
  <w:style w:type="paragraph" w:styleId="6">
    <w:name w:val="Balloon Text"/>
    <w:basedOn w:val="1"/>
    <w:link w:val="17"/>
    <w:semiHidden/>
    <w:uiPriority w:val="99"/>
    <w:rPr>
      <w:rFonts w:ascii="Tahoma" w:hAnsi="Tahoma" w:cs="Tahoma"/>
      <w:sz w:val="16"/>
      <w:szCs w:val="16"/>
    </w:rPr>
  </w:style>
  <w:style w:type="paragraph" w:styleId="7">
    <w:name w:val="header"/>
    <w:basedOn w:val="1"/>
    <w:link w:val="22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5"/>
    <w:semiHidden/>
    <w:qFormat/>
    <w:uiPriority w:val="99"/>
    <w:pPr>
      <w:spacing w:after="120"/>
    </w:pPr>
  </w:style>
  <w:style w:type="paragraph" w:styleId="9">
    <w:name w:val="Title"/>
    <w:basedOn w:val="1"/>
    <w:link w:val="14"/>
    <w:qFormat/>
    <w:uiPriority w:val="0"/>
    <w:pPr>
      <w:jc w:val="center"/>
    </w:pPr>
    <w:rPr>
      <w:sz w:val="28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 3"/>
    <w:basedOn w:val="1"/>
    <w:link w:val="13"/>
    <w:uiPriority w:val="0"/>
    <w:pPr>
      <w:jc w:val="both"/>
    </w:pPr>
    <w:rPr>
      <w:sz w:val="28"/>
    </w:rPr>
  </w:style>
  <w:style w:type="paragraph" w:styleId="12">
    <w:name w:val="Subtitle"/>
    <w:basedOn w:val="1"/>
    <w:link w:val="16"/>
    <w:qFormat/>
    <w:uiPriority w:val="99"/>
    <w:pPr>
      <w:spacing w:line="360" w:lineRule="auto"/>
      <w:jc w:val="center"/>
    </w:pPr>
    <w:rPr>
      <w:rFonts w:ascii="Arial Narrow" w:hAnsi="Arial Narrow" w:cs="Arial"/>
      <w:sz w:val="36"/>
    </w:rPr>
  </w:style>
  <w:style w:type="character" w:customStyle="1" w:styleId="13">
    <w:name w:val="Основной текст 3 Знак"/>
    <w:link w:val="11"/>
    <w:locked/>
    <w:uiPriority w:val="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4">
    <w:name w:val="Название Знак"/>
    <w:link w:val="9"/>
    <w:locked/>
    <w:uiPriority w:val="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Знак"/>
    <w:link w:val="8"/>
    <w:semiHidden/>
    <w:qFormat/>
    <w:locked/>
    <w:uiPriority w:val="9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6">
    <w:name w:val="Подзаголовок Знак"/>
    <w:link w:val="12"/>
    <w:locked/>
    <w:uiPriority w:val="99"/>
    <w:rPr>
      <w:rFonts w:ascii="Arial Narrow" w:hAnsi="Arial Narrow" w:cs="Arial"/>
      <w:sz w:val="24"/>
      <w:szCs w:val="24"/>
      <w:lang w:eastAsia="ru-RU"/>
    </w:rPr>
  </w:style>
  <w:style w:type="character" w:customStyle="1" w:styleId="17">
    <w:name w:val="Текст выноски Знак"/>
    <w:link w:val="6"/>
    <w:semiHidden/>
    <w:locked/>
    <w:uiPriority w:val="99"/>
    <w:rPr>
      <w:rFonts w:ascii="Tahoma" w:hAnsi="Tahoma" w:cs="Tahoma"/>
      <w:sz w:val="16"/>
      <w:szCs w:val="16"/>
      <w:lang w:eastAsia="ru-RU"/>
    </w:rPr>
  </w:style>
  <w:style w:type="character" w:customStyle="1" w:styleId="18">
    <w:name w:val="Знак Знак"/>
    <w:qFormat/>
    <w:locked/>
    <w:uiPriority w:val="99"/>
    <w:rPr>
      <w:rFonts w:ascii="Arial Narrow" w:hAnsi="Arial Narrow" w:cs="Arial"/>
      <w:sz w:val="24"/>
      <w:szCs w:val="24"/>
      <w:lang w:val="ru-RU" w:eastAsia="ru-RU" w:bidi="ar-SA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Заголовок 1 Знак"/>
    <w:link w:val="2"/>
    <w:uiPriority w:val="99"/>
    <w:rPr>
      <w:rFonts w:ascii="Times New Roman" w:hAnsi="Times New Roman" w:eastAsia="Times New Roman"/>
      <w:sz w:val="24"/>
      <w:szCs w:val="24"/>
      <w:u w:val="single"/>
    </w:rPr>
  </w:style>
  <w:style w:type="character" w:customStyle="1" w:styleId="21">
    <w:name w:val="Font Style11"/>
    <w:uiPriority w:val="99"/>
    <w:rPr>
      <w:rFonts w:ascii="Times New Roman" w:hAnsi="Times New Roman" w:cs="Times New Roman"/>
      <w:sz w:val="26"/>
      <w:szCs w:val="26"/>
    </w:rPr>
  </w:style>
  <w:style w:type="character" w:customStyle="1" w:styleId="22">
    <w:name w:val="Верхний колонтитул Знак"/>
    <w:basedOn w:val="3"/>
    <w:link w:val="7"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3">
    <w:name w:val="Нижний колонтитул Знак"/>
    <w:basedOn w:val="3"/>
    <w:link w:val="10"/>
    <w:uiPriority w:val="99"/>
    <w:rPr>
      <w:rFonts w:ascii="Times New Roman" w:hAnsi="Times New Roman" w:eastAsia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C75A5-AEF8-4462-92C8-8F16C89D03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2</Pages>
  <Words>687</Words>
  <Characters>3917</Characters>
  <Lines>32</Lines>
  <Paragraphs>9</Paragraphs>
  <TotalTime>138</TotalTime>
  <ScaleCrop>false</ScaleCrop>
  <LinksUpToDate>false</LinksUpToDate>
  <CharactersWithSpaces>4595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2024-07-17T06:43:00Z</dcterms:created>
  <dc:creator>Доронина Наталья Петровна</dc:creator>
  <cp:lastModifiedBy>Админ</cp:lastModifiedBy>
  <cp:lastPrinted>2024-07-09T11:23:00Z</cp:lastPrinted>
  <dcterms:modified xsi:type="dcterms:W3CDTF">2024-11-05T11:37:02Z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2240F6FF93984E5BAEE6D9F40C291999_12</vt:lpwstr>
  </property>
</Properties>
</file>